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E9026" w14:textId="55DA53EE" w:rsidR="00C5435B" w:rsidRPr="00F826B0" w:rsidRDefault="00C5435B" w:rsidP="001C28E9">
      <w:pPr>
        <w:rPr>
          <w:rFonts w:asciiTheme="majorHAnsi" w:hAnsiTheme="majorHAnsi" w:cs="Arial"/>
          <w:b/>
          <w:sz w:val="28"/>
          <w:u w:val="single"/>
          <w:lang w:val="en-GB"/>
        </w:rPr>
      </w:pPr>
      <w:r w:rsidRPr="00F826B0">
        <w:rPr>
          <w:rFonts w:asciiTheme="majorHAnsi" w:hAnsiTheme="majorHAnsi" w:cs="Arial"/>
          <w:b/>
          <w:sz w:val="28"/>
          <w:u w:val="single"/>
          <w:lang w:val="en-GB"/>
        </w:rPr>
        <w:t>Pr</w:t>
      </w:r>
      <w:r w:rsidR="00F826B0" w:rsidRPr="00F826B0">
        <w:rPr>
          <w:rFonts w:asciiTheme="majorHAnsi" w:hAnsiTheme="majorHAnsi" w:cs="Arial"/>
          <w:b/>
          <w:sz w:val="28"/>
          <w:u w:val="single"/>
          <w:lang w:val="en-GB"/>
        </w:rPr>
        <w:t xml:space="preserve">ocessor Agreement </w:t>
      </w:r>
      <w:r w:rsidRPr="00F826B0">
        <w:rPr>
          <w:rFonts w:asciiTheme="majorHAnsi" w:hAnsiTheme="majorHAnsi" w:cs="Arial"/>
          <w:b/>
          <w:sz w:val="28"/>
          <w:u w:val="single"/>
          <w:lang w:val="en-GB"/>
        </w:rPr>
        <w:t>Compliance Checklist</w:t>
      </w:r>
    </w:p>
    <w:p w14:paraId="570CDAAB" w14:textId="77777777" w:rsidR="00C5435B" w:rsidRPr="00F826B0" w:rsidRDefault="00C5435B" w:rsidP="001C28E9">
      <w:pPr>
        <w:rPr>
          <w:rFonts w:asciiTheme="majorHAnsi" w:hAnsiTheme="majorHAnsi" w:cs="Arial"/>
          <w:b/>
          <w:u w:val="single"/>
          <w:lang w:val="en-GB"/>
        </w:rPr>
      </w:pPr>
    </w:p>
    <w:p w14:paraId="232DBC4C" w14:textId="336181E3" w:rsidR="00910992" w:rsidRPr="00953D72" w:rsidRDefault="00C5435B" w:rsidP="001C28E9">
      <w:pPr>
        <w:rPr>
          <w:rFonts w:asciiTheme="majorHAnsi" w:hAnsiTheme="majorHAnsi" w:cs="Arial"/>
          <w:b/>
          <w:lang w:val="en-GB"/>
        </w:rPr>
      </w:pPr>
      <w:r w:rsidRPr="00953D72">
        <w:rPr>
          <w:rFonts w:asciiTheme="majorHAnsi" w:hAnsiTheme="majorHAnsi" w:cs="Arial"/>
          <w:b/>
          <w:lang w:val="en-GB"/>
        </w:rPr>
        <w:t>Information to be pr</w:t>
      </w:r>
      <w:r w:rsidR="00F826B0" w:rsidRPr="00953D72">
        <w:rPr>
          <w:rFonts w:asciiTheme="majorHAnsi" w:hAnsiTheme="majorHAnsi" w:cs="Arial"/>
          <w:b/>
          <w:lang w:val="en-GB"/>
        </w:rPr>
        <w:t>ovided where personal data are transferred to a Processor under strict instructions and assurances of security and confidentiality</w:t>
      </w:r>
    </w:p>
    <w:p w14:paraId="072F06E7" w14:textId="77777777" w:rsidR="00F826B0" w:rsidRPr="00F826B0" w:rsidRDefault="00F826B0" w:rsidP="001C28E9">
      <w:pPr>
        <w:rPr>
          <w:rFonts w:asciiTheme="majorHAnsi" w:hAnsiTheme="majorHAnsi" w:cs="Arial"/>
          <w:b/>
          <w:u w:val="single"/>
          <w:lang w:val="en-GB"/>
        </w:rPr>
      </w:pPr>
    </w:p>
    <w:tbl>
      <w:tblPr>
        <w:tblStyle w:val="TableGrid"/>
        <w:tblW w:w="9781" w:type="dxa"/>
        <w:tblInd w:w="-16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084"/>
        <w:gridCol w:w="878"/>
        <w:gridCol w:w="4819"/>
      </w:tblGrid>
      <w:tr w:rsidR="009B4BA7" w:rsidRPr="00F826B0" w14:paraId="3C2EB2BA" w14:textId="77777777" w:rsidTr="00953D72">
        <w:trPr>
          <w:trHeight w:val="500"/>
        </w:trPr>
        <w:tc>
          <w:tcPr>
            <w:tcW w:w="4084" w:type="dxa"/>
            <w:shd w:val="clear" w:color="auto" w:fill="548DD4" w:themeFill="text2" w:themeFillTint="99"/>
            <w:vAlign w:val="center"/>
          </w:tcPr>
          <w:p w14:paraId="5D3DC6A0" w14:textId="197FB124" w:rsidR="00F826B0" w:rsidRPr="00F826B0" w:rsidRDefault="00F826B0" w:rsidP="00E7320E">
            <w:pPr>
              <w:rPr>
                <w:rFonts w:asciiTheme="majorHAnsi" w:hAnsiTheme="majorHAnsi" w:cs="Arial"/>
                <w:b/>
                <w:lang w:val="en-GB"/>
              </w:rPr>
            </w:pPr>
            <w:r w:rsidRPr="00F826B0">
              <w:rPr>
                <w:rFonts w:asciiTheme="majorHAnsi" w:hAnsiTheme="majorHAnsi" w:cs="Arial"/>
                <w:b/>
                <w:lang w:val="en-GB"/>
              </w:rPr>
              <w:t>Item</w:t>
            </w:r>
          </w:p>
        </w:tc>
        <w:tc>
          <w:tcPr>
            <w:tcW w:w="878" w:type="dxa"/>
            <w:shd w:val="clear" w:color="auto" w:fill="548DD4" w:themeFill="text2" w:themeFillTint="99"/>
            <w:vAlign w:val="center"/>
          </w:tcPr>
          <w:p w14:paraId="25F9DAB1" w14:textId="52BB6926" w:rsidR="00F826B0" w:rsidRPr="00F826B0" w:rsidRDefault="00F826B0" w:rsidP="00E7320E">
            <w:pPr>
              <w:rPr>
                <w:rFonts w:asciiTheme="majorHAnsi" w:hAnsiTheme="majorHAnsi" w:cs="Arial"/>
                <w:b/>
                <w:lang w:val="en-GB"/>
              </w:rPr>
            </w:pPr>
            <w:r w:rsidRPr="00F826B0">
              <w:rPr>
                <w:rFonts w:asciiTheme="majorHAnsi" w:hAnsiTheme="majorHAnsi" w:cs="Arial"/>
                <w:b/>
                <w:lang w:val="en-GB"/>
              </w:rPr>
              <w:t>Article</w:t>
            </w:r>
          </w:p>
        </w:tc>
        <w:tc>
          <w:tcPr>
            <w:tcW w:w="4819" w:type="dxa"/>
            <w:shd w:val="clear" w:color="auto" w:fill="548DD4" w:themeFill="text2" w:themeFillTint="99"/>
            <w:vAlign w:val="center"/>
          </w:tcPr>
          <w:p w14:paraId="7D4787B9" w14:textId="7ABDC40C" w:rsidR="00F826B0" w:rsidRPr="00F826B0" w:rsidRDefault="00F826B0" w:rsidP="00E7320E">
            <w:pPr>
              <w:rPr>
                <w:rFonts w:asciiTheme="majorHAnsi" w:hAnsiTheme="majorHAnsi" w:cs="Arial"/>
                <w:b/>
                <w:lang w:val="en-GB"/>
              </w:rPr>
            </w:pPr>
            <w:r w:rsidRPr="00F826B0">
              <w:rPr>
                <w:rFonts w:asciiTheme="majorHAnsi" w:hAnsiTheme="majorHAnsi" w:cs="Arial"/>
                <w:b/>
                <w:lang w:val="en-GB"/>
              </w:rPr>
              <w:t>Assessment</w:t>
            </w:r>
          </w:p>
        </w:tc>
      </w:tr>
      <w:tr w:rsidR="009B4BA7" w:rsidRPr="00F826B0" w14:paraId="142EAC8B" w14:textId="77777777" w:rsidTr="00953D72">
        <w:tc>
          <w:tcPr>
            <w:tcW w:w="4084" w:type="dxa"/>
            <w:shd w:val="clear" w:color="auto" w:fill="C6D9F1" w:themeFill="text2" w:themeFillTint="33"/>
          </w:tcPr>
          <w:p w14:paraId="668B6069" w14:textId="0383D7C7" w:rsidR="00F826B0" w:rsidRPr="00A90531" w:rsidRDefault="00F826B0" w:rsidP="001C28E9">
            <w:pPr>
              <w:rPr>
                <w:rFonts w:asciiTheme="majorHAnsi" w:hAnsiTheme="majorHAnsi" w:cs="Arial"/>
                <w:sz w:val="20"/>
                <w:szCs w:val="20"/>
                <w:lang w:val="en-GB"/>
              </w:rPr>
            </w:pPr>
            <w:r w:rsidRPr="00A90531">
              <w:rPr>
                <w:rFonts w:asciiTheme="majorHAnsi" w:hAnsiTheme="majorHAnsi" w:cs="Arial"/>
                <w:sz w:val="20"/>
                <w:szCs w:val="20"/>
                <w:lang w:val="en-GB"/>
              </w:rPr>
              <w:t>Processor is providing sufficient guarantees to implement appropriate technical and organizational measures</w:t>
            </w:r>
          </w:p>
        </w:tc>
        <w:tc>
          <w:tcPr>
            <w:tcW w:w="878" w:type="dxa"/>
            <w:shd w:val="clear" w:color="auto" w:fill="C6D9F1" w:themeFill="text2" w:themeFillTint="33"/>
          </w:tcPr>
          <w:p w14:paraId="0BFE89FE" w14:textId="00DDC446" w:rsidR="00F826B0" w:rsidRPr="00A90531" w:rsidRDefault="00F826B0" w:rsidP="001C28E9">
            <w:pPr>
              <w:rPr>
                <w:rFonts w:asciiTheme="majorHAnsi" w:hAnsiTheme="majorHAnsi" w:cs="Arial"/>
                <w:sz w:val="20"/>
                <w:szCs w:val="20"/>
                <w:lang w:val="en-GB"/>
              </w:rPr>
            </w:pPr>
            <w:r w:rsidRPr="00A90531">
              <w:rPr>
                <w:rFonts w:asciiTheme="majorHAnsi" w:hAnsiTheme="majorHAnsi" w:cs="Arial"/>
                <w:sz w:val="20"/>
                <w:szCs w:val="20"/>
                <w:lang w:val="en-GB"/>
              </w:rPr>
              <w:t>28.1</w:t>
            </w:r>
          </w:p>
        </w:tc>
        <w:tc>
          <w:tcPr>
            <w:tcW w:w="4819" w:type="dxa"/>
            <w:shd w:val="clear" w:color="auto" w:fill="C6D9F1" w:themeFill="text2" w:themeFillTint="33"/>
          </w:tcPr>
          <w:p w14:paraId="3F0093B0" w14:textId="77777777" w:rsidR="00F826B0" w:rsidRPr="00A90531" w:rsidRDefault="00F826B0" w:rsidP="001C28E9">
            <w:pPr>
              <w:rPr>
                <w:rFonts w:asciiTheme="majorHAnsi" w:hAnsiTheme="majorHAnsi" w:cs="Arial"/>
                <w:sz w:val="20"/>
                <w:szCs w:val="20"/>
                <w:lang w:val="en-GB"/>
              </w:rPr>
            </w:pPr>
            <w:bookmarkStart w:id="0" w:name="_GoBack"/>
            <w:bookmarkEnd w:id="0"/>
          </w:p>
        </w:tc>
      </w:tr>
      <w:tr w:rsidR="009B4BA7" w:rsidRPr="00F826B0" w14:paraId="1219B719" w14:textId="77777777" w:rsidTr="00953D72">
        <w:tc>
          <w:tcPr>
            <w:tcW w:w="4084" w:type="dxa"/>
            <w:shd w:val="clear" w:color="auto" w:fill="C6D9F1" w:themeFill="text2" w:themeFillTint="33"/>
          </w:tcPr>
          <w:p w14:paraId="5D9E0FA9" w14:textId="363B3C59" w:rsidR="00F826B0" w:rsidRPr="00A90531" w:rsidRDefault="00F826B0" w:rsidP="001C28E9">
            <w:pPr>
              <w:rPr>
                <w:rFonts w:asciiTheme="majorHAnsi" w:hAnsiTheme="majorHAnsi" w:cs="Arial"/>
                <w:sz w:val="20"/>
                <w:szCs w:val="20"/>
                <w:lang w:val="en-GB"/>
              </w:rPr>
            </w:pPr>
            <w:r w:rsidRPr="00A90531">
              <w:rPr>
                <w:rFonts w:asciiTheme="majorHAnsi" w:hAnsiTheme="majorHAnsi" w:cs="Arial"/>
                <w:sz w:val="20"/>
                <w:szCs w:val="20"/>
                <w:lang w:val="en-GB"/>
              </w:rPr>
              <w:t>Processor does not engage another processor without prior specific written authorisation from the controller</w:t>
            </w:r>
          </w:p>
        </w:tc>
        <w:tc>
          <w:tcPr>
            <w:tcW w:w="878" w:type="dxa"/>
            <w:shd w:val="clear" w:color="auto" w:fill="C6D9F1" w:themeFill="text2" w:themeFillTint="33"/>
          </w:tcPr>
          <w:p w14:paraId="13CBA4F5" w14:textId="497FC3E9" w:rsidR="00F826B0" w:rsidRPr="00A90531" w:rsidRDefault="00F826B0" w:rsidP="001C28E9">
            <w:pPr>
              <w:rPr>
                <w:rFonts w:asciiTheme="majorHAnsi" w:hAnsiTheme="majorHAnsi" w:cs="Arial"/>
                <w:sz w:val="20"/>
                <w:szCs w:val="20"/>
                <w:lang w:val="en-GB"/>
              </w:rPr>
            </w:pPr>
            <w:r w:rsidRPr="00A90531">
              <w:rPr>
                <w:rFonts w:asciiTheme="majorHAnsi" w:hAnsiTheme="majorHAnsi" w:cs="Arial"/>
                <w:sz w:val="20"/>
                <w:szCs w:val="20"/>
                <w:lang w:val="en-GB"/>
              </w:rPr>
              <w:t>28.2</w:t>
            </w:r>
          </w:p>
        </w:tc>
        <w:tc>
          <w:tcPr>
            <w:tcW w:w="4819" w:type="dxa"/>
            <w:shd w:val="clear" w:color="auto" w:fill="C6D9F1" w:themeFill="text2" w:themeFillTint="33"/>
          </w:tcPr>
          <w:p w14:paraId="06840753" w14:textId="77777777" w:rsidR="00F826B0" w:rsidRPr="00A90531" w:rsidRDefault="00F826B0" w:rsidP="001C28E9">
            <w:pPr>
              <w:rPr>
                <w:rFonts w:asciiTheme="majorHAnsi" w:hAnsiTheme="majorHAnsi" w:cs="Arial"/>
                <w:sz w:val="20"/>
                <w:szCs w:val="20"/>
                <w:lang w:val="en-GB"/>
              </w:rPr>
            </w:pPr>
          </w:p>
        </w:tc>
      </w:tr>
      <w:tr w:rsidR="009B4BA7" w:rsidRPr="00F826B0" w14:paraId="66337793" w14:textId="77777777" w:rsidTr="00953D72">
        <w:tc>
          <w:tcPr>
            <w:tcW w:w="4084" w:type="dxa"/>
            <w:shd w:val="clear" w:color="auto" w:fill="C6D9F1" w:themeFill="text2" w:themeFillTint="33"/>
          </w:tcPr>
          <w:p w14:paraId="7F91F98B" w14:textId="79AEC190" w:rsidR="00F826B0" w:rsidRPr="00A90531" w:rsidRDefault="009B4BA7" w:rsidP="001C28E9">
            <w:pPr>
              <w:rPr>
                <w:rFonts w:asciiTheme="majorHAnsi" w:hAnsiTheme="majorHAnsi" w:cs="Arial"/>
                <w:sz w:val="20"/>
                <w:szCs w:val="20"/>
                <w:lang w:val="en-GB"/>
              </w:rPr>
            </w:pPr>
            <w:r w:rsidRPr="00A90531">
              <w:rPr>
                <w:rFonts w:asciiTheme="majorHAnsi" w:hAnsiTheme="majorHAnsi" w:cs="Arial"/>
                <w:sz w:val="20"/>
                <w:szCs w:val="20"/>
                <w:lang w:val="en-GB"/>
              </w:rPr>
              <w:t>Processing is governed by a contract or other legal act that is binding on the processor by setting out:</w:t>
            </w:r>
          </w:p>
        </w:tc>
        <w:tc>
          <w:tcPr>
            <w:tcW w:w="878" w:type="dxa"/>
            <w:shd w:val="clear" w:color="auto" w:fill="C6D9F1" w:themeFill="text2" w:themeFillTint="33"/>
          </w:tcPr>
          <w:p w14:paraId="1E1F43EE" w14:textId="0C981EEF" w:rsidR="00F826B0" w:rsidRPr="00A90531" w:rsidRDefault="00F826B0" w:rsidP="001C28E9">
            <w:pPr>
              <w:rPr>
                <w:rFonts w:asciiTheme="majorHAnsi" w:hAnsiTheme="majorHAnsi" w:cs="Arial"/>
                <w:sz w:val="20"/>
                <w:szCs w:val="20"/>
                <w:lang w:val="en-GB"/>
              </w:rPr>
            </w:pPr>
          </w:p>
        </w:tc>
        <w:tc>
          <w:tcPr>
            <w:tcW w:w="4819" w:type="dxa"/>
            <w:shd w:val="clear" w:color="auto" w:fill="C6D9F1" w:themeFill="text2" w:themeFillTint="33"/>
          </w:tcPr>
          <w:p w14:paraId="307DD3CF" w14:textId="77777777" w:rsidR="00F826B0" w:rsidRPr="00A90531" w:rsidRDefault="00F826B0" w:rsidP="001C28E9">
            <w:pPr>
              <w:rPr>
                <w:rFonts w:asciiTheme="majorHAnsi" w:hAnsiTheme="majorHAnsi" w:cs="Arial"/>
                <w:sz w:val="20"/>
                <w:szCs w:val="20"/>
                <w:lang w:val="en-GB"/>
              </w:rPr>
            </w:pPr>
          </w:p>
        </w:tc>
      </w:tr>
      <w:tr w:rsidR="009B4BA7" w:rsidRPr="00F826B0" w14:paraId="025064A6" w14:textId="77777777" w:rsidTr="00953D72">
        <w:tc>
          <w:tcPr>
            <w:tcW w:w="4084" w:type="dxa"/>
            <w:shd w:val="clear" w:color="auto" w:fill="C6D9F1" w:themeFill="text2" w:themeFillTint="33"/>
          </w:tcPr>
          <w:p w14:paraId="5F7F3843" w14:textId="5265D0D5" w:rsidR="00F826B0" w:rsidRPr="00A90531" w:rsidRDefault="009B4BA7" w:rsidP="00237EDA">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Subject-matter of the processing</w:t>
            </w:r>
          </w:p>
        </w:tc>
        <w:tc>
          <w:tcPr>
            <w:tcW w:w="878" w:type="dxa"/>
            <w:shd w:val="clear" w:color="auto" w:fill="C6D9F1" w:themeFill="text2" w:themeFillTint="33"/>
          </w:tcPr>
          <w:p w14:paraId="2E9E57D4" w14:textId="3EFC3F53" w:rsidR="00F826B0" w:rsidRPr="00A90531" w:rsidRDefault="009B4BA7" w:rsidP="001C28E9">
            <w:pPr>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C6D9F1" w:themeFill="text2" w:themeFillTint="33"/>
          </w:tcPr>
          <w:p w14:paraId="0B9C32AA" w14:textId="77777777" w:rsidR="00F826B0" w:rsidRPr="00A90531" w:rsidRDefault="00F826B0" w:rsidP="001C28E9">
            <w:pPr>
              <w:rPr>
                <w:rFonts w:asciiTheme="majorHAnsi" w:hAnsiTheme="majorHAnsi" w:cs="Arial"/>
                <w:sz w:val="20"/>
                <w:szCs w:val="20"/>
                <w:lang w:val="en-GB"/>
              </w:rPr>
            </w:pPr>
          </w:p>
        </w:tc>
      </w:tr>
      <w:tr w:rsidR="009B4BA7" w:rsidRPr="00F826B0" w14:paraId="226DBA08" w14:textId="77777777" w:rsidTr="00953D72">
        <w:tc>
          <w:tcPr>
            <w:tcW w:w="4084" w:type="dxa"/>
            <w:shd w:val="clear" w:color="auto" w:fill="C6D9F1" w:themeFill="text2" w:themeFillTint="33"/>
          </w:tcPr>
          <w:p w14:paraId="6131F351" w14:textId="270961CF" w:rsidR="00F826B0" w:rsidRPr="00A90531" w:rsidRDefault="009B4BA7" w:rsidP="00237EDA">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Duration of the processing</w:t>
            </w:r>
          </w:p>
        </w:tc>
        <w:tc>
          <w:tcPr>
            <w:tcW w:w="878" w:type="dxa"/>
            <w:shd w:val="clear" w:color="auto" w:fill="C6D9F1" w:themeFill="text2" w:themeFillTint="33"/>
          </w:tcPr>
          <w:p w14:paraId="5450616A" w14:textId="6E162D37" w:rsidR="00F826B0" w:rsidRPr="00A90531" w:rsidRDefault="009B4BA7" w:rsidP="001C28E9">
            <w:pPr>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C6D9F1" w:themeFill="text2" w:themeFillTint="33"/>
          </w:tcPr>
          <w:p w14:paraId="2AB5FB12" w14:textId="77777777" w:rsidR="00F826B0" w:rsidRPr="00A90531" w:rsidRDefault="00F826B0" w:rsidP="001C28E9">
            <w:pPr>
              <w:rPr>
                <w:rFonts w:asciiTheme="majorHAnsi" w:hAnsiTheme="majorHAnsi" w:cs="Arial"/>
                <w:sz w:val="20"/>
                <w:szCs w:val="20"/>
                <w:lang w:val="en-GB"/>
              </w:rPr>
            </w:pPr>
          </w:p>
        </w:tc>
      </w:tr>
      <w:tr w:rsidR="009B4BA7" w:rsidRPr="00F826B0" w14:paraId="1F9F2B40" w14:textId="77777777" w:rsidTr="00953D72">
        <w:tc>
          <w:tcPr>
            <w:tcW w:w="4084" w:type="dxa"/>
            <w:shd w:val="clear" w:color="auto" w:fill="C6D9F1" w:themeFill="text2" w:themeFillTint="33"/>
          </w:tcPr>
          <w:p w14:paraId="66868C3C" w14:textId="2DFA014A" w:rsidR="00F826B0" w:rsidRPr="00A90531" w:rsidRDefault="009B4BA7" w:rsidP="00237EDA">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Nature of the processing</w:t>
            </w:r>
          </w:p>
        </w:tc>
        <w:tc>
          <w:tcPr>
            <w:tcW w:w="878" w:type="dxa"/>
            <w:shd w:val="clear" w:color="auto" w:fill="C6D9F1" w:themeFill="text2" w:themeFillTint="33"/>
          </w:tcPr>
          <w:p w14:paraId="52BED700" w14:textId="76CAA40C" w:rsidR="00F826B0" w:rsidRPr="00A90531" w:rsidRDefault="009B4BA7" w:rsidP="001C28E9">
            <w:pPr>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C6D9F1" w:themeFill="text2" w:themeFillTint="33"/>
          </w:tcPr>
          <w:p w14:paraId="7E4B08D7" w14:textId="77777777" w:rsidR="00F826B0" w:rsidRPr="00A90531" w:rsidRDefault="00F826B0" w:rsidP="001C28E9">
            <w:pPr>
              <w:rPr>
                <w:rFonts w:asciiTheme="majorHAnsi" w:hAnsiTheme="majorHAnsi" w:cs="Arial"/>
                <w:sz w:val="20"/>
                <w:szCs w:val="20"/>
                <w:lang w:val="en-GB"/>
              </w:rPr>
            </w:pPr>
          </w:p>
        </w:tc>
      </w:tr>
      <w:tr w:rsidR="009B4BA7" w:rsidRPr="00F826B0" w14:paraId="5BA49C45" w14:textId="77777777" w:rsidTr="00953D72">
        <w:tc>
          <w:tcPr>
            <w:tcW w:w="4084" w:type="dxa"/>
            <w:shd w:val="clear" w:color="auto" w:fill="C6D9F1" w:themeFill="text2" w:themeFillTint="33"/>
          </w:tcPr>
          <w:p w14:paraId="384AF591" w14:textId="6B104B79" w:rsidR="00F826B0" w:rsidRPr="00A90531" w:rsidRDefault="00237EDA" w:rsidP="00237EDA">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Purpose of the processing</w:t>
            </w:r>
          </w:p>
        </w:tc>
        <w:tc>
          <w:tcPr>
            <w:tcW w:w="878" w:type="dxa"/>
            <w:shd w:val="clear" w:color="auto" w:fill="C6D9F1" w:themeFill="text2" w:themeFillTint="33"/>
          </w:tcPr>
          <w:p w14:paraId="2EBB81CF" w14:textId="77777777" w:rsidR="00F826B0" w:rsidRPr="00A90531" w:rsidRDefault="00F826B0" w:rsidP="001C28E9">
            <w:pPr>
              <w:rPr>
                <w:rFonts w:asciiTheme="majorHAnsi" w:hAnsiTheme="majorHAnsi" w:cs="Arial"/>
                <w:sz w:val="20"/>
                <w:szCs w:val="20"/>
                <w:lang w:val="en-GB"/>
              </w:rPr>
            </w:pPr>
          </w:p>
        </w:tc>
        <w:tc>
          <w:tcPr>
            <w:tcW w:w="4819" w:type="dxa"/>
            <w:shd w:val="clear" w:color="auto" w:fill="C6D9F1" w:themeFill="text2" w:themeFillTint="33"/>
          </w:tcPr>
          <w:p w14:paraId="6A6FBCA3" w14:textId="77777777" w:rsidR="00F826B0" w:rsidRPr="00A90531" w:rsidRDefault="00F826B0" w:rsidP="001C28E9">
            <w:pPr>
              <w:rPr>
                <w:rFonts w:asciiTheme="majorHAnsi" w:hAnsiTheme="majorHAnsi" w:cs="Arial"/>
                <w:sz w:val="20"/>
                <w:szCs w:val="20"/>
                <w:lang w:val="en-GB"/>
              </w:rPr>
            </w:pPr>
          </w:p>
        </w:tc>
      </w:tr>
      <w:tr w:rsidR="009B4BA7" w:rsidRPr="00F826B0" w14:paraId="10E27984" w14:textId="77777777" w:rsidTr="00953D72">
        <w:tc>
          <w:tcPr>
            <w:tcW w:w="4084" w:type="dxa"/>
            <w:shd w:val="clear" w:color="auto" w:fill="C6D9F1" w:themeFill="text2" w:themeFillTint="33"/>
          </w:tcPr>
          <w:p w14:paraId="550BE1DA" w14:textId="6B2C47C2" w:rsidR="00F826B0" w:rsidRPr="00A90531" w:rsidRDefault="00237EDA" w:rsidP="00237EDA">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Type of personal data</w:t>
            </w:r>
          </w:p>
        </w:tc>
        <w:tc>
          <w:tcPr>
            <w:tcW w:w="878" w:type="dxa"/>
            <w:shd w:val="clear" w:color="auto" w:fill="C6D9F1" w:themeFill="text2" w:themeFillTint="33"/>
          </w:tcPr>
          <w:p w14:paraId="43E4396B" w14:textId="16667A4C" w:rsidR="00F826B0" w:rsidRPr="00A90531" w:rsidRDefault="00237EDA" w:rsidP="001C28E9">
            <w:pPr>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C6D9F1" w:themeFill="text2" w:themeFillTint="33"/>
          </w:tcPr>
          <w:p w14:paraId="257B93D1" w14:textId="77777777" w:rsidR="00F826B0" w:rsidRPr="00A90531" w:rsidRDefault="00F826B0" w:rsidP="001C28E9">
            <w:pPr>
              <w:rPr>
                <w:rFonts w:asciiTheme="majorHAnsi" w:hAnsiTheme="majorHAnsi" w:cs="Arial"/>
                <w:sz w:val="20"/>
                <w:szCs w:val="20"/>
                <w:lang w:val="en-GB"/>
              </w:rPr>
            </w:pPr>
          </w:p>
        </w:tc>
      </w:tr>
      <w:tr w:rsidR="009B4BA7" w:rsidRPr="00F826B0" w14:paraId="731F795C" w14:textId="77777777" w:rsidTr="00953D72">
        <w:tc>
          <w:tcPr>
            <w:tcW w:w="4084" w:type="dxa"/>
            <w:shd w:val="clear" w:color="auto" w:fill="C6D9F1" w:themeFill="text2" w:themeFillTint="33"/>
          </w:tcPr>
          <w:p w14:paraId="5B5C8675" w14:textId="1CC9BF69" w:rsidR="00F826B0" w:rsidRPr="00A90531" w:rsidRDefault="00237EDA" w:rsidP="00237EDA">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Categories of personal data</w:t>
            </w:r>
          </w:p>
        </w:tc>
        <w:tc>
          <w:tcPr>
            <w:tcW w:w="878" w:type="dxa"/>
            <w:shd w:val="clear" w:color="auto" w:fill="C6D9F1" w:themeFill="text2" w:themeFillTint="33"/>
          </w:tcPr>
          <w:p w14:paraId="079F179D" w14:textId="4E31DB17" w:rsidR="00F826B0" w:rsidRPr="00A90531" w:rsidRDefault="00237EDA" w:rsidP="001C28E9">
            <w:pPr>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C6D9F1" w:themeFill="text2" w:themeFillTint="33"/>
          </w:tcPr>
          <w:p w14:paraId="7D59A518" w14:textId="77777777" w:rsidR="00F826B0" w:rsidRPr="00A90531" w:rsidRDefault="00F826B0" w:rsidP="001C28E9">
            <w:pPr>
              <w:rPr>
                <w:rFonts w:asciiTheme="majorHAnsi" w:hAnsiTheme="majorHAnsi" w:cs="Arial"/>
                <w:sz w:val="20"/>
                <w:szCs w:val="20"/>
                <w:lang w:val="en-GB"/>
              </w:rPr>
            </w:pPr>
          </w:p>
        </w:tc>
      </w:tr>
      <w:tr w:rsidR="00237EDA" w:rsidRPr="00F826B0" w14:paraId="252269AD" w14:textId="77777777" w:rsidTr="00953D72">
        <w:tc>
          <w:tcPr>
            <w:tcW w:w="4084" w:type="dxa"/>
            <w:shd w:val="clear" w:color="auto" w:fill="C6D9F1" w:themeFill="text2" w:themeFillTint="33"/>
          </w:tcPr>
          <w:p w14:paraId="49EF5FD1" w14:textId="339057FA" w:rsidR="00237EDA" w:rsidRPr="00A90531" w:rsidRDefault="00237EDA" w:rsidP="00237EDA">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Obligations and rights of the controller</w:t>
            </w:r>
          </w:p>
        </w:tc>
        <w:tc>
          <w:tcPr>
            <w:tcW w:w="878" w:type="dxa"/>
            <w:shd w:val="clear" w:color="auto" w:fill="C6D9F1" w:themeFill="text2" w:themeFillTint="33"/>
          </w:tcPr>
          <w:p w14:paraId="7F3BBA86" w14:textId="438BD1E2" w:rsidR="00237EDA" w:rsidRPr="00A90531" w:rsidRDefault="00237EDA" w:rsidP="001C28E9">
            <w:pPr>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C6D9F1" w:themeFill="text2" w:themeFillTint="33"/>
          </w:tcPr>
          <w:p w14:paraId="316FB292" w14:textId="77777777" w:rsidR="00237EDA" w:rsidRPr="00A90531" w:rsidRDefault="00237EDA" w:rsidP="001C28E9">
            <w:pPr>
              <w:rPr>
                <w:rFonts w:asciiTheme="majorHAnsi" w:hAnsiTheme="majorHAnsi" w:cs="Arial"/>
                <w:sz w:val="20"/>
                <w:szCs w:val="20"/>
                <w:lang w:val="en-GB"/>
              </w:rPr>
            </w:pPr>
          </w:p>
        </w:tc>
      </w:tr>
      <w:tr w:rsidR="00237EDA" w:rsidRPr="00F826B0" w14:paraId="1A934BCD" w14:textId="77777777" w:rsidTr="00953D72">
        <w:tc>
          <w:tcPr>
            <w:tcW w:w="4084" w:type="dxa"/>
            <w:shd w:val="clear" w:color="auto" w:fill="C6D9F1" w:themeFill="text2" w:themeFillTint="33"/>
          </w:tcPr>
          <w:p w14:paraId="4ADF4BBC" w14:textId="02F0502F" w:rsidR="00237EDA" w:rsidRPr="00A90531" w:rsidRDefault="00237EDA" w:rsidP="00237EDA">
            <w:pPr>
              <w:rPr>
                <w:rFonts w:asciiTheme="majorHAnsi" w:hAnsiTheme="majorHAnsi" w:cs="Arial"/>
                <w:sz w:val="20"/>
                <w:szCs w:val="20"/>
                <w:lang w:val="en-GB"/>
              </w:rPr>
            </w:pPr>
            <w:r w:rsidRPr="00A90531">
              <w:rPr>
                <w:rFonts w:asciiTheme="majorHAnsi" w:hAnsiTheme="majorHAnsi" w:cs="Arial"/>
                <w:sz w:val="20"/>
                <w:szCs w:val="20"/>
                <w:lang w:val="en-GB"/>
              </w:rPr>
              <w:t>The contract specifically stipulates:</w:t>
            </w:r>
          </w:p>
        </w:tc>
        <w:tc>
          <w:tcPr>
            <w:tcW w:w="878" w:type="dxa"/>
            <w:shd w:val="clear" w:color="auto" w:fill="C6D9F1" w:themeFill="text2" w:themeFillTint="33"/>
          </w:tcPr>
          <w:p w14:paraId="736954A5" w14:textId="7674360E" w:rsidR="00237EDA" w:rsidRPr="00A90531" w:rsidRDefault="00A90531" w:rsidP="001C28E9">
            <w:pPr>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C6D9F1" w:themeFill="text2" w:themeFillTint="33"/>
          </w:tcPr>
          <w:p w14:paraId="2AE1269E" w14:textId="77777777" w:rsidR="00237EDA" w:rsidRPr="00A90531" w:rsidRDefault="00237EDA" w:rsidP="001C28E9">
            <w:pPr>
              <w:rPr>
                <w:rFonts w:asciiTheme="majorHAnsi" w:hAnsiTheme="majorHAnsi" w:cs="Arial"/>
                <w:sz w:val="20"/>
                <w:szCs w:val="20"/>
                <w:lang w:val="en-GB"/>
              </w:rPr>
            </w:pPr>
          </w:p>
        </w:tc>
      </w:tr>
      <w:tr w:rsidR="00237EDA" w:rsidRPr="00F826B0" w14:paraId="384F3E8E" w14:textId="77777777" w:rsidTr="00953D72">
        <w:tc>
          <w:tcPr>
            <w:tcW w:w="4084" w:type="dxa"/>
            <w:shd w:val="clear" w:color="auto" w:fill="C6D9F1" w:themeFill="text2" w:themeFillTint="33"/>
          </w:tcPr>
          <w:p w14:paraId="0F732D65" w14:textId="799E12F5" w:rsidR="00237EDA" w:rsidRPr="00A90531" w:rsidRDefault="00237EDA" w:rsidP="00237EDA">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The processor processor only on documented instructions from the controller, including with regard to transfer to a third country.</w:t>
            </w:r>
          </w:p>
        </w:tc>
        <w:tc>
          <w:tcPr>
            <w:tcW w:w="878" w:type="dxa"/>
            <w:shd w:val="clear" w:color="auto" w:fill="C6D9F1" w:themeFill="text2" w:themeFillTint="33"/>
          </w:tcPr>
          <w:p w14:paraId="50A12700" w14:textId="4EFDB777" w:rsidR="00237EDA" w:rsidRPr="00A90531" w:rsidRDefault="00A90531" w:rsidP="001C28E9">
            <w:pPr>
              <w:rPr>
                <w:rFonts w:asciiTheme="majorHAnsi" w:hAnsiTheme="majorHAnsi" w:cs="Arial"/>
                <w:sz w:val="20"/>
                <w:szCs w:val="20"/>
                <w:lang w:val="en-GB"/>
              </w:rPr>
            </w:pPr>
            <w:r w:rsidRPr="00A90531">
              <w:rPr>
                <w:rFonts w:asciiTheme="majorHAnsi" w:hAnsiTheme="majorHAnsi" w:cs="Arial"/>
                <w:sz w:val="20"/>
                <w:szCs w:val="20"/>
                <w:lang w:val="en-GB"/>
              </w:rPr>
              <w:t>(a)</w:t>
            </w:r>
          </w:p>
        </w:tc>
        <w:tc>
          <w:tcPr>
            <w:tcW w:w="4819" w:type="dxa"/>
            <w:shd w:val="clear" w:color="auto" w:fill="C6D9F1" w:themeFill="text2" w:themeFillTint="33"/>
          </w:tcPr>
          <w:p w14:paraId="51620464" w14:textId="77777777" w:rsidR="00237EDA" w:rsidRPr="00A90531" w:rsidRDefault="00237EDA" w:rsidP="001C28E9">
            <w:pPr>
              <w:rPr>
                <w:rFonts w:asciiTheme="majorHAnsi" w:hAnsiTheme="majorHAnsi" w:cs="Arial"/>
                <w:sz w:val="20"/>
                <w:szCs w:val="20"/>
                <w:lang w:val="en-GB"/>
              </w:rPr>
            </w:pPr>
          </w:p>
        </w:tc>
      </w:tr>
      <w:tr w:rsidR="00237EDA" w:rsidRPr="00F826B0" w14:paraId="5EBDF441" w14:textId="77777777" w:rsidTr="00953D72">
        <w:tc>
          <w:tcPr>
            <w:tcW w:w="4084" w:type="dxa"/>
            <w:shd w:val="clear" w:color="auto" w:fill="C6D9F1" w:themeFill="text2" w:themeFillTint="33"/>
          </w:tcPr>
          <w:p w14:paraId="1CD7AEDE" w14:textId="62140D4C" w:rsidR="00237EDA" w:rsidRPr="00A90531" w:rsidRDefault="00237EDA" w:rsidP="00237EDA">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The persons authorised to process the personal data have committed themselves to confidentiality under a statute of obligation.</w:t>
            </w:r>
          </w:p>
        </w:tc>
        <w:tc>
          <w:tcPr>
            <w:tcW w:w="878" w:type="dxa"/>
            <w:shd w:val="clear" w:color="auto" w:fill="C6D9F1" w:themeFill="text2" w:themeFillTint="33"/>
          </w:tcPr>
          <w:p w14:paraId="195C38EB" w14:textId="7B35835E" w:rsidR="00237EDA" w:rsidRPr="00A90531" w:rsidRDefault="00A90531" w:rsidP="001C28E9">
            <w:pPr>
              <w:rPr>
                <w:rFonts w:asciiTheme="majorHAnsi" w:hAnsiTheme="majorHAnsi" w:cs="Arial"/>
                <w:sz w:val="20"/>
                <w:szCs w:val="20"/>
                <w:lang w:val="en-GB"/>
              </w:rPr>
            </w:pPr>
            <w:r w:rsidRPr="00A90531">
              <w:rPr>
                <w:rFonts w:asciiTheme="majorHAnsi" w:hAnsiTheme="majorHAnsi" w:cs="Arial"/>
                <w:sz w:val="20"/>
                <w:szCs w:val="20"/>
                <w:lang w:val="en-GB"/>
              </w:rPr>
              <w:t>(b)</w:t>
            </w:r>
          </w:p>
        </w:tc>
        <w:tc>
          <w:tcPr>
            <w:tcW w:w="4819" w:type="dxa"/>
            <w:shd w:val="clear" w:color="auto" w:fill="C6D9F1" w:themeFill="text2" w:themeFillTint="33"/>
          </w:tcPr>
          <w:p w14:paraId="020040AE" w14:textId="77777777" w:rsidR="00237EDA" w:rsidRPr="00A90531" w:rsidRDefault="00237EDA" w:rsidP="001C28E9">
            <w:pPr>
              <w:rPr>
                <w:rFonts w:asciiTheme="majorHAnsi" w:hAnsiTheme="majorHAnsi" w:cs="Arial"/>
                <w:sz w:val="20"/>
                <w:szCs w:val="20"/>
                <w:lang w:val="en-GB"/>
              </w:rPr>
            </w:pPr>
          </w:p>
        </w:tc>
      </w:tr>
      <w:tr w:rsidR="00237EDA" w:rsidRPr="00F826B0" w14:paraId="72B4E481" w14:textId="77777777" w:rsidTr="00953D72">
        <w:tc>
          <w:tcPr>
            <w:tcW w:w="4084" w:type="dxa"/>
            <w:shd w:val="clear" w:color="auto" w:fill="C6D9F1" w:themeFill="text2" w:themeFillTint="33"/>
          </w:tcPr>
          <w:p w14:paraId="24F659BD" w14:textId="6334461D" w:rsidR="000C7719" w:rsidRDefault="00237EDA" w:rsidP="000C7719">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 xml:space="preserve">The processor has taken all </w:t>
            </w:r>
            <w:r w:rsidR="00A32C23">
              <w:rPr>
                <w:rFonts w:asciiTheme="majorHAnsi" w:hAnsiTheme="majorHAnsi" w:cs="Arial"/>
                <w:sz w:val="20"/>
                <w:szCs w:val="20"/>
                <w:lang w:val="en-GB"/>
              </w:rPr>
              <w:t xml:space="preserve">appropriate </w:t>
            </w:r>
            <w:r w:rsidRPr="00A90531">
              <w:rPr>
                <w:rFonts w:asciiTheme="majorHAnsi" w:hAnsiTheme="majorHAnsi" w:cs="Arial"/>
                <w:sz w:val="20"/>
                <w:szCs w:val="20"/>
                <w:lang w:val="en-GB"/>
              </w:rPr>
              <w:t>mea</w:t>
            </w:r>
            <w:r w:rsidR="000C7719">
              <w:rPr>
                <w:rFonts w:asciiTheme="majorHAnsi" w:hAnsiTheme="majorHAnsi" w:cs="Arial"/>
                <w:sz w:val="20"/>
                <w:szCs w:val="20"/>
                <w:lang w:val="en-GB"/>
              </w:rPr>
              <w:t>sures</w:t>
            </w:r>
            <w:r w:rsidR="00A32C23">
              <w:rPr>
                <w:rFonts w:asciiTheme="majorHAnsi" w:hAnsiTheme="majorHAnsi" w:cs="Arial"/>
                <w:sz w:val="20"/>
                <w:szCs w:val="20"/>
                <w:lang w:val="en-GB"/>
              </w:rPr>
              <w:t xml:space="preserve"> to secure Personal Data </w:t>
            </w:r>
            <w:r w:rsidR="000C7719">
              <w:rPr>
                <w:rFonts w:asciiTheme="majorHAnsi" w:hAnsiTheme="majorHAnsi" w:cs="Arial"/>
                <w:sz w:val="20"/>
                <w:szCs w:val="20"/>
                <w:lang w:val="en-GB"/>
              </w:rPr>
              <w:t>under Article 32, namely:</w:t>
            </w:r>
          </w:p>
          <w:p w14:paraId="77101813" w14:textId="2DEA3DF3" w:rsidR="00A32C23" w:rsidRPr="00A32C23" w:rsidRDefault="000C7719" w:rsidP="00A32C23">
            <w:pPr>
              <w:pStyle w:val="ListParagraph"/>
              <w:numPr>
                <w:ilvl w:val="0"/>
                <w:numId w:val="6"/>
              </w:numPr>
              <w:ind w:left="885" w:hanging="207"/>
              <w:rPr>
                <w:rFonts w:asciiTheme="majorHAnsi" w:hAnsiTheme="majorHAnsi" w:cs="Arial"/>
                <w:sz w:val="20"/>
                <w:szCs w:val="20"/>
                <w:lang w:val="en-GB"/>
              </w:rPr>
            </w:pPr>
            <w:r>
              <w:rPr>
                <w:rFonts w:asciiTheme="majorHAnsi" w:hAnsiTheme="majorHAnsi" w:cs="Arial"/>
                <w:sz w:val="20"/>
                <w:szCs w:val="20"/>
                <w:lang w:val="en-GB"/>
              </w:rPr>
              <w:t>Pseudonymisation</w:t>
            </w:r>
            <w:r w:rsidR="00A32C23">
              <w:rPr>
                <w:rFonts w:asciiTheme="majorHAnsi" w:hAnsiTheme="majorHAnsi" w:cs="Arial"/>
                <w:sz w:val="20"/>
                <w:szCs w:val="20"/>
                <w:lang w:val="en-GB"/>
              </w:rPr>
              <w:t xml:space="preserve"> and encryption</w:t>
            </w:r>
          </w:p>
          <w:p w14:paraId="46F38DF6" w14:textId="77777777" w:rsidR="000C7719" w:rsidRDefault="00A32C23" w:rsidP="00A32C23">
            <w:pPr>
              <w:pStyle w:val="ListParagraph"/>
              <w:numPr>
                <w:ilvl w:val="0"/>
                <w:numId w:val="6"/>
              </w:numPr>
              <w:ind w:left="885" w:hanging="207"/>
              <w:rPr>
                <w:rFonts w:asciiTheme="majorHAnsi" w:hAnsiTheme="majorHAnsi" w:cs="Arial"/>
                <w:sz w:val="20"/>
                <w:szCs w:val="20"/>
                <w:lang w:val="en-GB"/>
              </w:rPr>
            </w:pPr>
            <w:r>
              <w:rPr>
                <w:rFonts w:asciiTheme="majorHAnsi" w:hAnsiTheme="majorHAnsi" w:cs="Arial"/>
                <w:sz w:val="20"/>
                <w:szCs w:val="20"/>
                <w:lang w:val="en-GB"/>
              </w:rPr>
              <w:t>Ongoing confidentiality, availability, resilience</w:t>
            </w:r>
          </w:p>
          <w:p w14:paraId="20A3776E" w14:textId="77777777" w:rsidR="00A32C23" w:rsidRDefault="00A32C23" w:rsidP="00A32C23">
            <w:pPr>
              <w:pStyle w:val="ListParagraph"/>
              <w:numPr>
                <w:ilvl w:val="0"/>
                <w:numId w:val="6"/>
              </w:numPr>
              <w:ind w:left="885" w:hanging="207"/>
              <w:rPr>
                <w:rFonts w:asciiTheme="majorHAnsi" w:hAnsiTheme="majorHAnsi" w:cs="Arial"/>
                <w:sz w:val="20"/>
                <w:szCs w:val="20"/>
                <w:lang w:val="en-GB"/>
              </w:rPr>
            </w:pPr>
            <w:r>
              <w:rPr>
                <w:rFonts w:asciiTheme="majorHAnsi" w:hAnsiTheme="majorHAnsi" w:cs="Arial"/>
                <w:sz w:val="20"/>
                <w:szCs w:val="20"/>
                <w:lang w:val="en-GB"/>
              </w:rPr>
              <w:t>Restore from backup</w:t>
            </w:r>
          </w:p>
          <w:p w14:paraId="42D51DE9" w14:textId="77777777" w:rsidR="00A32C23" w:rsidRDefault="00A32C23" w:rsidP="00A32C23">
            <w:pPr>
              <w:pStyle w:val="ListParagraph"/>
              <w:numPr>
                <w:ilvl w:val="0"/>
                <w:numId w:val="6"/>
              </w:numPr>
              <w:ind w:left="885" w:hanging="207"/>
              <w:rPr>
                <w:rFonts w:asciiTheme="majorHAnsi" w:hAnsiTheme="majorHAnsi" w:cs="Arial"/>
                <w:sz w:val="20"/>
                <w:szCs w:val="20"/>
                <w:lang w:val="en-GB"/>
              </w:rPr>
            </w:pPr>
            <w:r>
              <w:rPr>
                <w:rFonts w:asciiTheme="majorHAnsi" w:hAnsiTheme="majorHAnsi" w:cs="Arial"/>
                <w:sz w:val="20"/>
                <w:szCs w:val="20"/>
                <w:lang w:val="en-GB"/>
              </w:rPr>
              <w:t>Regular testing and evaluation</w:t>
            </w:r>
          </w:p>
          <w:p w14:paraId="5C35B754" w14:textId="4385ED9F" w:rsidR="00A32C23" w:rsidRPr="000C7719" w:rsidRDefault="00A32C23" w:rsidP="00A32C23">
            <w:pPr>
              <w:pStyle w:val="ListParagraph"/>
              <w:numPr>
                <w:ilvl w:val="0"/>
                <w:numId w:val="6"/>
              </w:numPr>
              <w:ind w:left="885" w:hanging="207"/>
              <w:rPr>
                <w:rFonts w:asciiTheme="majorHAnsi" w:hAnsiTheme="majorHAnsi" w:cs="Arial"/>
                <w:sz w:val="20"/>
                <w:szCs w:val="20"/>
                <w:lang w:val="en-GB"/>
              </w:rPr>
            </w:pPr>
            <w:r>
              <w:rPr>
                <w:rFonts w:asciiTheme="majorHAnsi" w:hAnsiTheme="majorHAnsi" w:cs="Arial"/>
                <w:sz w:val="20"/>
                <w:szCs w:val="20"/>
                <w:lang w:val="en-GB"/>
              </w:rPr>
              <w:t>Where applicable, commitment to an approved Code of Conduct</w:t>
            </w:r>
          </w:p>
        </w:tc>
        <w:tc>
          <w:tcPr>
            <w:tcW w:w="878" w:type="dxa"/>
            <w:shd w:val="clear" w:color="auto" w:fill="C6D9F1" w:themeFill="text2" w:themeFillTint="33"/>
          </w:tcPr>
          <w:p w14:paraId="13C70129" w14:textId="3DC64AEF" w:rsidR="00237EDA" w:rsidRPr="00A90531" w:rsidRDefault="00A90531" w:rsidP="001C28E9">
            <w:pPr>
              <w:rPr>
                <w:rFonts w:asciiTheme="majorHAnsi" w:hAnsiTheme="majorHAnsi" w:cs="Arial"/>
                <w:sz w:val="20"/>
                <w:szCs w:val="20"/>
                <w:lang w:val="en-GB"/>
              </w:rPr>
            </w:pPr>
            <w:r w:rsidRPr="00A90531">
              <w:rPr>
                <w:rFonts w:asciiTheme="majorHAnsi" w:hAnsiTheme="majorHAnsi" w:cs="Arial"/>
                <w:sz w:val="20"/>
                <w:szCs w:val="20"/>
                <w:lang w:val="en-GB"/>
              </w:rPr>
              <w:t>(c)</w:t>
            </w:r>
          </w:p>
        </w:tc>
        <w:tc>
          <w:tcPr>
            <w:tcW w:w="4819" w:type="dxa"/>
            <w:shd w:val="clear" w:color="auto" w:fill="C6D9F1" w:themeFill="text2" w:themeFillTint="33"/>
          </w:tcPr>
          <w:p w14:paraId="54844E18" w14:textId="77777777" w:rsidR="00237EDA" w:rsidRPr="00A90531" w:rsidRDefault="00237EDA" w:rsidP="001C28E9">
            <w:pPr>
              <w:rPr>
                <w:rFonts w:asciiTheme="majorHAnsi" w:hAnsiTheme="majorHAnsi" w:cs="Arial"/>
                <w:sz w:val="20"/>
                <w:szCs w:val="20"/>
                <w:lang w:val="en-GB"/>
              </w:rPr>
            </w:pPr>
          </w:p>
        </w:tc>
      </w:tr>
      <w:tr w:rsidR="00237EDA" w:rsidRPr="00F826B0" w14:paraId="20A10ABF" w14:textId="77777777" w:rsidTr="00953D72">
        <w:tc>
          <w:tcPr>
            <w:tcW w:w="4084" w:type="dxa"/>
            <w:shd w:val="clear" w:color="auto" w:fill="C6D9F1" w:themeFill="text2" w:themeFillTint="33"/>
          </w:tcPr>
          <w:p w14:paraId="7DB177B1" w14:textId="085761D5" w:rsidR="00237EDA" w:rsidRPr="00A90531" w:rsidRDefault="00237EDA" w:rsidP="00237EDA">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The processor respects the conditions for engaging another processor</w:t>
            </w:r>
            <w:r w:rsidR="000C7719">
              <w:rPr>
                <w:rFonts w:asciiTheme="majorHAnsi" w:hAnsiTheme="majorHAnsi" w:cs="Arial"/>
                <w:sz w:val="20"/>
                <w:szCs w:val="20"/>
                <w:lang w:val="en-GB"/>
              </w:rPr>
              <w:t xml:space="preserve"> (not without authorisation, and under the same contracted terms)</w:t>
            </w:r>
          </w:p>
        </w:tc>
        <w:tc>
          <w:tcPr>
            <w:tcW w:w="878" w:type="dxa"/>
            <w:shd w:val="clear" w:color="auto" w:fill="C6D9F1" w:themeFill="text2" w:themeFillTint="33"/>
          </w:tcPr>
          <w:p w14:paraId="1C49CC12" w14:textId="797CAC83" w:rsidR="00237EDA" w:rsidRPr="00A90531" w:rsidRDefault="00A90531" w:rsidP="001C28E9">
            <w:pPr>
              <w:rPr>
                <w:rFonts w:asciiTheme="majorHAnsi" w:hAnsiTheme="majorHAnsi" w:cs="Arial"/>
                <w:sz w:val="20"/>
                <w:szCs w:val="20"/>
                <w:lang w:val="en-GB"/>
              </w:rPr>
            </w:pPr>
            <w:r w:rsidRPr="00A90531">
              <w:rPr>
                <w:rFonts w:asciiTheme="majorHAnsi" w:hAnsiTheme="majorHAnsi" w:cs="Arial"/>
                <w:sz w:val="20"/>
                <w:szCs w:val="20"/>
                <w:lang w:val="en-GB"/>
              </w:rPr>
              <w:t>(d)</w:t>
            </w:r>
          </w:p>
        </w:tc>
        <w:tc>
          <w:tcPr>
            <w:tcW w:w="4819" w:type="dxa"/>
            <w:shd w:val="clear" w:color="auto" w:fill="C6D9F1" w:themeFill="text2" w:themeFillTint="33"/>
          </w:tcPr>
          <w:p w14:paraId="5626914D" w14:textId="77777777" w:rsidR="00237EDA" w:rsidRPr="00A90531" w:rsidRDefault="00237EDA" w:rsidP="001C28E9">
            <w:pPr>
              <w:rPr>
                <w:rFonts w:asciiTheme="majorHAnsi" w:hAnsiTheme="majorHAnsi" w:cs="Arial"/>
                <w:sz w:val="20"/>
                <w:szCs w:val="20"/>
                <w:lang w:val="en-GB"/>
              </w:rPr>
            </w:pPr>
          </w:p>
        </w:tc>
      </w:tr>
      <w:tr w:rsidR="00237EDA" w:rsidRPr="00F826B0" w14:paraId="7B782080" w14:textId="77777777" w:rsidTr="00953D72">
        <w:tc>
          <w:tcPr>
            <w:tcW w:w="4084" w:type="dxa"/>
            <w:shd w:val="clear" w:color="auto" w:fill="C6D9F1" w:themeFill="text2" w:themeFillTint="33"/>
          </w:tcPr>
          <w:p w14:paraId="0E6FA7F0" w14:textId="2349E4CF" w:rsidR="00237EDA" w:rsidRPr="00A90531" w:rsidRDefault="00801C57" w:rsidP="00237EDA">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 xml:space="preserve">The processor commits to assist the controller insofar as is possible, to </w:t>
            </w:r>
            <w:r w:rsidR="00A90531" w:rsidRPr="00A90531">
              <w:rPr>
                <w:rFonts w:asciiTheme="majorHAnsi" w:hAnsiTheme="majorHAnsi" w:cs="Arial"/>
                <w:sz w:val="20"/>
                <w:szCs w:val="20"/>
                <w:lang w:val="en-GB"/>
              </w:rPr>
              <w:t xml:space="preserve">fulfil </w:t>
            </w:r>
            <w:r w:rsidR="00A90531" w:rsidRPr="00A90531">
              <w:rPr>
                <w:rFonts w:asciiTheme="majorHAnsi" w:hAnsiTheme="majorHAnsi" w:cs="Arial"/>
                <w:sz w:val="20"/>
                <w:szCs w:val="20"/>
                <w:lang w:val="en-GB"/>
              </w:rPr>
              <w:lastRenderedPageBreak/>
              <w:t>its requirement to respond to Data Subjects who exercise their rights</w:t>
            </w:r>
          </w:p>
        </w:tc>
        <w:tc>
          <w:tcPr>
            <w:tcW w:w="878" w:type="dxa"/>
            <w:shd w:val="clear" w:color="auto" w:fill="C6D9F1" w:themeFill="text2" w:themeFillTint="33"/>
          </w:tcPr>
          <w:p w14:paraId="6C8A4E05" w14:textId="0E8E05AE" w:rsidR="00237EDA" w:rsidRPr="00A90531" w:rsidRDefault="00A90531" w:rsidP="001C28E9">
            <w:pPr>
              <w:rPr>
                <w:rFonts w:asciiTheme="majorHAnsi" w:hAnsiTheme="majorHAnsi" w:cs="Arial"/>
                <w:sz w:val="20"/>
                <w:szCs w:val="20"/>
                <w:lang w:val="en-GB"/>
              </w:rPr>
            </w:pPr>
            <w:r w:rsidRPr="00A90531">
              <w:rPr>
                <w:rFonts w:asciiTheme="majorHAnsi" w:hAnsiTheme="majorHAnsi" w:cs="Arial"/>
                <w:sz w:val="20"/>
                <w:szCs w:val="20"/>
                <w:lang w:val="en-GB"/>
              </w:rPr>
              <w:lastRenderedPageBreak/>
              <w:t>(e)</w:t>
            </w:r>
          </w:p>
        </w:tc>
        <w:tc>
          <w:tcPr>
            <w:tcW w:w="4819" w:type="dxa"/>
            <w:shd w:val="clear" w:color="auto" w:fill="C6D9F1" w:themeFill="text2" w:themeFillTint="33"/>
          </w:tcPr>
          <w:p w14:paraId="10DFF9A0" w14:textId="77777777" w:rsidR="00237EDA" w:rsidRPr="00A90531" w:rsidRDefault="00237EDA" w:rsidP="001C28E9">
            <w:pPr>
              <w:rPr>
                <w:rFonts w:asciiTheme="majorHAnsi" w:hAnsiTheme="majorHAnsi" w:cs="Arial"/>
                <w:sz w:val="20"/>
                <w:szCs w:val="20"/>
                <w:lang w:val="en-GB"/>
              </w:rPr>
            </w:pPr>
          </w:p>
        </w:tc>
      </w:tr>
      <w:tr w:rsidR="00A90531" w:rsidRPr="00F826B0" w14:paraId="1EF3EB13" w14:textId="77777777" w:rsidTr="00953D72">
        <w:tc>
          <w:tcPr>
            <w:tcW w:w="4084" w:type="dxa"/>
            <w:shd w:val="clear" w:color="auto" w:fill="C6D9F1" w:themeFill="text2" w:themeFillTint="33"/>
          </w:tcPr>
          <w:p w14:paraId="55897BA7" w14:textId="16598804" w:rsidR="00A32C23" w:rsidRDefault="00A90531" w:rsidP="00A32C23">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 xml:space="preserve">The processor commits to </w:t>
            </w:r>
            <w:r w:rsidR="00A32C23">
              <w:rPr>
                <w:rFonts w:asciiTheme="majorHAnsi" w:hAnsiTheme="majorHAnsi" w:cs="Arial"/>
                <w:sz w:val="20"/>
                <w:szCs w:val="20"/>
                <w:lang w:val="en-GB"/>
              </w:rPr>
              <w:t>assist the controller</w:t>
            </w:r>
            <w:r w:rsidRPr="00A90531">
              <w:rPr>
                <w:rFonts w:asciiTheme="majorHAnsi" w:hAnsiTheme="majorHAnsi" w:cs="Arial"/>
                <w:sz w:val="20"/>
                <w:szCs w:val="20"/>
                <w:lang w:val="en-GB"/>
              </w:rPr>
              <w:t xml:space="preserve"> with its obligations under Article 32 to 36</w:t>
            </w:r>
            <w:r w:rsidR="00A32C23">
              <w:rPr>
                <w:rFonts w:asciiTheme="majorHAnsi" w:hAnsiTheme="majorHAnsi" w:cs="Arial"/>
                <w:sz w:val="20"/>
                <w:szCs w:val="20"/>
                <w:lang w:val="en-GB"/>
              </w:rPr>
              <w:t xml:space="preserve"> namely:</w:t>
            </w:r>
          </w:p>
          <w:p w14:paraId="329BA4EF" w14:textId="77777777" w:rsidR="00A32C23" w:rsidRDefault="00A32C23" w:rsidP="00A32C23">
            <w:pPr>
              <w:pStyle w:val="ListParagraph"/>
              <w:numPr>
                <w:ilvl w:val="0"/>
                <w:numId w:val="7"/>
              </w:numPr>
              <w:ind w:left="885" w:hanging="207"/>
              <w:rPr>
                <w:rFonts w:asciiTheme="majorHAnsi" w:hAnsiTheme="majorHAnsi" w:cs="Arial"/>
                <w:sz w:val="20"/>
                <w:szCs w:val="20"/>
                <w:lang w:val="en-GB"/>
              </w:rPr>
            </w:pPr>
            <w:r>
              <w:rPr>
                <w:rFonts w:asciiTheme="majorHAnsi" w:hAnsiTheme="majorHAnsi" w:cs="Arial"/>
                <w:sz w:val="20"/>
                <w:szCs w:val="20"/>
                <w:lang w:val="en-GB"/>
              </w:rPr>
              <w:t>S</w:t>
            </w:r>
            <w:r w:rsidRPr="00A32C23">
              <w:rPr>
                <w:rFonts w:asciiTheme="majorHAnsi" w:hAnsiTheme="majorHAnsi" w:cs="Arial"/>
                <w:sz w:val="20"/>
                <w:szCs w:val="20"/>
                <w:lang w:val="en-GB"/>
              </w:rPr>
              <w:t>ecurity</w:t>
            </w:r>
          </w:p>
          <w:p w14:paraId="137284C3" w14:textId="77777777" w:rsidR="00A32C23" w:rsidRDefault="00A32C23" w:rsidP="00A32C23">
            <w:pPr>
              <w:pStyle w:val="ListParagraph"/>
              <w:numPr>
                <w:ilvl w:val="0"/>
                <w:numId w:val="7"/>
              </w:numPr>
              <w:ind w:left="885" w:hanging="207"/>
              <w:rPr>
                <w:rFonts w:asciiTheme="majorHAnsi" w:hAnsiTheme="majorHAnsi" w:cs="Arial"/>
                <w:sz w:val="20"/>
                <w:szCs w:val="20"/>
                <w:lang w:val="en-GB"/>
              </w:rPr>
            </w:pPr>
            <w:r>
              <w:rPr>
                <w:rFonts w:asciiTheme="majorHAnsi" w:hAnsiTheme="majorHAnsi" w:cs="Arial"/>
                <w:sz w:val="20"/>
                <w:szCs w:val="20"/>
                <w:lang w:val="en-GB"/>
              </w:rPr>
              <w:t>M</w:t>
            </w:r>
            <w:r w:rsidRPr="00A32C23">
              <w:rPr>
                <w:rFonts w:asciiTheme="majorHAnsi" w:hAnsiTheme="majorHAnsi" w:cs="Arial"/>
                <w:sz w:val="20"/>
                <w:szCs w:val="20"/>
                <w:lang w:val="en-GB"/>
              </w:rPr>
              <w:t>anagement and reporting of Data Breaches</w:t>
            </w:r>
          </w:p>
          <w:p w14:paraId="0148B79E" w14:textId="5DB8C88B" w:rsidR="00A32C23" w:rsidRDefault="00A32C23" w:rsidP="00A32C23">
            <w:pPr>
              <w:pStyle w:val="ListParagraph"/>
              <w:numPr>
                <w:ilvl w:val="0"/>
                <w:numId w:val="7"/>
              </w:numPr>
              <w:ind w:left="885" w:hanging="207"/>
              <w:rPr>
                <w:rFonts w:asciiTheme="majorHAnsi" w:hAnsiTheme="majorHAnsi" w:cs="Arial"/>
                <w:sz w:val="20"/>
                <w:szCs w:val="20"/>
                <w:lang w:val="en-GB"/>
              </w:rPr>
            </w:pPr>
            <w:r>
              <w:rPr>
                <w:rFonts w:asciiTheme="majorHAnsi" w:hAnsiTheme="majorHAnsi" w:cs="Arial"/>
                <w:sz w:val="20"/>
                <w:szCs w:val="20"/>
                <w:lang w:val="en-GB"/>
              </w:rPr>
              <w:t>Data Protection Impact Assessments</w:t>
            </w:r>
          </w:p>
          <w:p w14:paraId="37499FC6" w14:textId="7EFF7EDF" w:rsidR="00A32C23" w:rsidRPr="00A32C23" w:rsidRDefault="00A32C23" w:rsidP="00A32C23">
            <w:pPr>
              <w:pStyle w:val="ListParagraph"/>
              <w:numPr>
                <w:ilvl w:val="0"/>
                <w:numId w:val="7"/>
              </w:numPr>
              <w:ind w:left="885" w:hanging="207"/>
              <w:rPr>
                <w:rFonts w:asciiTheme="majorHAnsi" w:hAnsiTheme="majorHAnsi" w:cs="Arial"/>
                <w:sz w:val="20"/>
                <w:szCs w:val="20"/>
                <w:lang w:val="en-GB"/>
              </w:rPr>
            </w:pPr>
            <w:r>
              <w:rPr>
                <w:rFonts w:asciiTheme="majorHAnsi" w:hAnsiTheme="majorHAnsi" w:cs="Arial"/>
                <w:sz w:val="20"/>
                <w:szCs w:val="20"/>
                <w:lang w:val="en-GB"/>
              </w:rPr>
              <w:t>Seeking prior consultation to process from the ICO</w:t>
            </w:r>
          </w:p>
        </w:tc>
        <w:tc>
          <w:tcPr>
            <w:tcW w:w="878" w:type="dxa"/>
            <w:shd w:val="clear" w:color="auto" w:fill="C6D9F1" w:themeFill="text2" w:themeFillTint="33"/>
          </w:tcPr>
          <w:p w14:paraId="1E833956" w14:textId="62378CBE" w:rsidR="00A90531" w:rsidRPr="00A90531" w:rsidRDefault="00A90531" w:rsidP="001C28E9">
            <w:pPr>
              <w:rPr>
                <w:rFonts w:asciiTheme="majorHAnsi" w:hAnsiTheme="majorHAnsi" w:cs="Arial"/>
                <w:sz w:val="20"/>
                <w:szCs w:val="20"/>
                <w:lang w:val="en-GB"/>
              </w:rPr>
            </w:pPr>
            <w:r w:rsidRPr="00A90531">
              <w:rPr>
                <w:rFonts w:asciiTheme="majorHAnsi" w:hAnsiTheme="majorHAnsi" w:cs="Arial"/>
                <w:sz w:val="20"/>
                <w:szCs w:val="20"/>
                <w:lang w:val="en-GB"/>
              </w:rPr>
              <w:t>(f)</w:t>
            </w:r>
          </w:p>
        </w:tc>
        <w:tc>
          <w:tcPr>
            <w:tcW w:w="4819" w:type="dxa"/>
            <w:shd w:val="clear" w:color="auto" w:fill="C6D9F1" w:themeFill="text2" w:themeFillTint="33"/>
          </w:tcPr>
          <w:p w14:paraId="2B3B59E2" w14:textId="77777777" w:rsidR="00A90531" w:rsidRPr="00A90531" w:rsidRDefault="00A90531" w:rsidP="001C28E9">
            <w:pPr>
              <w:rPr>
                <w:rFonts w:asciiTheme="majorHAnsi" w:hAnsiTheme="majorHAnsi" w:cs="Arial"/>
                <w:sz w:val="20"/>
                <w:szCs w:val="20"/>
                <w:lang w:val="en-GB"/>
              </w:rPr>
            </w:pPr>
          </w:p>
        </w:tc>
      </w:tr>
      <w:tr w:rsidR="00A90531" w:rsidRPr="00F826B0" w14:paraId="4D88F3CE" w14:textId="77777777" w:rsidTr="00953D72">
        <w:tc>
          <w:tcPr>
            <w:tcW w:w="4084" w:type="dxa"/>
            <w:shd w:val="clear" w:color="auto" w:fill="C6D9F1" w:themeFill="text2" w:themeFillTint="33"/>
          </w:tcPr>
          <w:p w14:paraId="5876CC68" w14:textId="3BA4C6AB" w:rsidR="00A90531" w:rsidRPr="00A90531" w:rsidRDefault="00A90531" w:rsidP="00237EDA">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The processor commits to delete or return (at the controller’s preference) the personal Data upon completion of the processing</w:t>
            </w:r>
          </w:p>
        </w:tc>
        <w:tc>
          <w:tcPr>
            <w:tcW w:w="878" w:type="dxa"/>
            <w:shd w:val="clear" w:color="auto" w:fill="C6D9F1" w:themeFill="text2" w:themeFillTint="33"/>
          </w:tcPr>
          <w:p w14:paraId="608C8613" w14:textId="3885B624" w:rsidR="00A90531" w:rsidRPr="00A90531" w:rsidRDefault="00A90531" w:rsidP="001C28E9">
            <w:pPr>
              <w:rPr>
                <w:rFonts w:asciiTheme="majorHAnsi" w:hAnsiTheme="majorHAnsi" w:cs="Arial"/>
                <w:sz w:val="20"/>
                <w:szCs w:val="20"/>
                <w:lang w:val="en-GB"/>
              </w:rPr>
            </w:pPr>
            <w:r w:rsidRPr="00A90531">
              <w:rPr>
                <w:rFonts w:asciiTheme="majorHAnsi" w:hAnsiTheme="majorHAnsi" w:cs="Arial"/>
                <w:sz w:val="20"/>
                <w:szCs w:val="20"/>
                <w:lang w:val="en-GB"/>
              </w:rPr>
              <w:t>(g)</w:t>
            </w:r>
          </w:p>
        </w:tc>
        <w:tc>
          <w:tcPr>
            <w:tcW w:w="4819" w:type="dxa"/>
            <w:shd w:val="clear" w:color="auto" w:fill="C6D9F1" w:themeFill="text2" w:themeFillTint="33"/>
          </w:tcPr>
          <w:p w14:paraId="0A006E02" w14:textId="77777777" w:rsidR="00A90531" w:rsidRPr="00A90531" w:rsidRDefault="00A90531" w:rsidP="001C28E9">
            <w:pPr>
              <w:rPr>
                <w:rFonts w:asciiTheme="majorHAnsi" w:hAnsiTheme="majorHAnsi" w:cs="Arial"/>
                <w:sz w:val="20"/>
                <w:szCs w:val="20"/>
                <w:lang w:val="en-GB"/>
              </w:rPr>
            </w:pPr>
          </w:p>
        </w:tc>
      </w:tr>
      <w:tr w:rsidR="00A90531" w:rsidRPr="00F826B0" w14:paraId="18317010" w14:textId="77777777" w:rsidTr="00953D72">
        <w:tc>
          <w:tcPr>
            <w:tcW w:w="4084" w:type="dxa"/>
            <w:shd w:val="clear" w:color="auto" w:fill="C6D9F1" w:themeFill="text2" w:themeFillTint="33"/>
          </w:tcPr>
          <w:p w14:paraId="368E3D00" w14:textId="35F40356" w:rsidR="00A32C23" w:rsidRPr="00A32C23" w:rsidRDefault="00A90531" w:rsidP="00A32C23">
            <w:pPr>
              <w:pStyle w:val="ListParagraph"/>
              <w:numPr>
                <w:ilvl w:val="0"/>
                <w:numId w:val="5"/>
              </w:numPr>
              <w:ind w:left="601" w:hanging="283"/>
              <w:rPr>
                <w:rFonts w:asciiTheme="majorHAnsi" w:hAnsiTheme="majorHAnsi" w:cs="Arial"/>
                <w:sz w:val="20"/>
                <w:szCs w:val="20"/>
                <w:lang w:val="en-GB"/>
              </w:rPr>
            </w:pPr>
            <w:r w:rsidRPr="00A90531">
              <w:rPr>
                <w:rFonts w:asciiTheme="majorHAnsi" w:hAnsiTheme="majorHAnsi" w:cs="Arial"/>
                <w:sz w:val="20"/>
                <w:szCs w:val="20"/>
                <w:lang w:val="en-GB"/>
              </w:rPr>
              <w:t>The processor commits to produce on request all information to evidence its compliance with all requirements, and to allow and contribute to audits and inspections, by the controller or by another auditor.</w:t>
            </w:r>
          </w:p>
        </w:tc>
        <w:tc>
          <w:tcPr>
            <w:tcW w:w="878" w:type="dxa"/>
            <w:shd w:val="clear" w:color="auto" w:fill="C6D9F1" w:themeFill="text2" w:themeFillTint="33"/>
          </w:tcPr>
          <w:p w14:paraId="09C704A4" w14:textId="5F67BFCD" w:rsidR="00A90531" w:rsidRPr="00A90531" w:rsidRDefault="00A90531" w:rsidP="001C28E9">
            <w:pPr>
              <w:rPr>
                <w:rFonts w:asciiTheme="majorHAnsi" w:hAnsiTheme="majorHAnsi" w:cs="Arial"/>
                <w:sz w:val="20"/>
                <w:szCs w:val="20"/>
                <w:lang w:val="en-GB"/>
              </w:rPr>
            </w:pPr>
            <w:r w:rsidRPr="00A90531">
              <w:rPr>
                <w:rFonts w:asciiTheme="majorHAnsi" w:hAnsiTheme="majorHAnsi" w:cs="Arial"/>
                <w:sz w:val="20"/>
                <w:szCs w:val="20"/>
                <w:lang w:val="en-GB"/>
              </w:rPr>
              <w:t>(h)</w:t>
            </w:r>
          </w:p>
        </w:tc>
        <w:tc>
          <w:tcPr>
            <w:tcW w:w="4819" w:type="dxa"/>
            <w:shd w:val="clear" w:color="auto" w:fill="C6D9F1" w:themeFill="text2" w:themeFillTint="33"/>
          </w:tcPr>
          <w:p w14:paraId="3309C0AD" w14:textId="77777777" w:rsidR="00A90531" w:rsidRPr="00A90531" w:rsidRDefault="00A90531" w:rsidP="001C28E9">
            <w:pPr>
              <w:rPr>
                <w:rFonts w:asciiTheme="majorHAnsi" w:hAnsiTheme="majorHAnsi" w:cs="Arial"/>
                <w:sz w:val="20"/>
                <w:szCs w:val="20"/>
                <w:lang w:val="en-GB"/>
              </w:rPr>
            </w:pPr>
          </w:p>
        </w:tc>
      </w:tr>
      <w:tr w:rsidR="00A32C23" w:rsidRPr="00F826B0" w14:paraId="789DEA56" w14:textId="77777777" w:rsidTr="00953D72">
        <w:tc>
          <w:tcPr>
            <w:tcW w:w="4084" w:type="dxa"/>
            <w:shd w:val="clear" w:color="auto" w:fill="C6D9F1" w:themeFill="text2" w:themeFillTint="33"/>
          </w:tcPr>
          <w:p w14:paraId="24C35BCA" w14:textId="53140835" w:rsidR="00A32C23" w:rsidRPr="00A32C23" w:rsidRDefault="00A32C23" w:rsidP="00A32C23">
            <w:pPr>
              <w:pStyle w:val="ListParagraph"/>
              <w:numPr>
                <w:ilvl w:val="0"/>
                <w:numId w:val="5"/>
              </w:numPr>
              <w:ind w:left="601" w:hanging="283"/>
              <w:rPr>
                <w:rFonts w:asciiTheme="majorHAnsi" w:hAnsiTheme="majorHAnsi" w:cs="Arial"/>
                <w:sz w:val="20"/>
                <w:szCs w:val="20"/>
                <w:lang w:val="en-GB"/>
              </w:rPr>
            </w:pPr>
            <w:r w:rsidRPr="00A32C23">
              <w:rPr>
                <w:rFonts w:asciiTheme="majorHAnsi" w:hAnsiTheme="majorHAnsi" w:cs="Arial"/>
                <w:sz w:val="20"/>
                <w:szCs w:val="20"/>
                <w:lang w:val="en-GB"/>
              </w:rPr>
              <w:t>The processor and any person acting under the authority of the controller or of the processor, who has access to</w:t>
            </w:r>
            <w:r>
              <w:rPr>
                <w:rFonts w:asciiTheme="majorHAnsi" w:hAnsiTheme="majorHAnsi" w:cs="Arial"/>
                <w:sz w:val="20"/>
                <w:szCs w:val="20"/>
                <w:lang w:val="en-GB"/>
              </w:rPr>
              <w:t xml:space="preserve"> </w:t>
            </w:r>
            <w:r w:rsidRPr="00A32C23">
              <w:rPr>
                <w:rFonts w:asciiTheme="majorHAnsi" w:hAnsiTheme="majorHAnsi" w:cs="Arial"/>
                <w:sz w:val="20"/>
                <w:szCs w:val="20"/>
                <w:lang w:val="en-GB"/>
              </w:rPr>
              <w:t xml:space="preserve">personal data, shall not process those data except on instructions from the controller, unless required by </w:t>
            </w:r>
            <w:r>
              <w:rPr>
                <w:rFonts w:asciiTheme="majorHAnsi" w:hAnsiTheme="majorHAnsi" w:cs="Arial"/>
                <w:sz w:val="20"/>
                <w:szCs w:val="20"/>
                <w:lang w:val="en-GB"/>
              </w:rPr>
              <w:t>law</w:t>
            </w:r>
            <w:r w:rsidRPr="00A32C23">
              <w:rPr>
                <w:rFonts w:asciiTheme="majorHAnsi" w:hAnsiTheme="majorHAnsi" w:cs="Arial"/>
                <w:sz w:val="20"/>
                <w:szCs w:val="20"/>
                <w:lang w:val="en-GB"/>
              </w:rPr>
              <w:t>.</w:t>
            </w:r>
          </w:p>
        </w:tc>
        <w:tc>
          <w:tcPr>
            <w:tcW w:w="878" w:type="dxa"/>
            <w:shd w:val="clear" w:color="auto" w:fill="C6D9F1" w:themeFill="text2" w:themeFillTint="33"/>
          </w:tcPr>
          <w:p w14:paraId="75A52215" w14:textId="21A7A10C" w:rsidR="00A32C23" w:rsidRPr="00A90531" w:rsidRDefault="00A32C23" w:rsidP="001C28E9">
            <w:pPr>
              <w:rPr>
                <w:rFonts w:asciiTheme="majorHAnsi" w:hAnsiTheme="majorHAnsi" w:cs="Arial"/>
                <w:sz w:val="20"/>
                <w:szCs w:val="20"/>
                <w:lang w:val="en-GB"/>
              </w:rPr>
            </w:pPr>
            <w:r>
              <w:rPr>
                <w:rFonts w:asciiTheme="majorHAnsi" w:hAnsiTheme="majorHAnsi" w:cs="Arial"/>
                <w:sz w:val="20"/>
                <w:szCs w:val="20"/>
                <w:lang w:val="en-GB"/>
              </w:rPr>
              <w:t>29</w:t>
            </w:r>
          </w:p>
        </w:tc>
        <w:tc>
          <w:tcPr>
            <w:tcW w:w="4819" w:type="dxa"/>
            <w:shd w:val="clear" w:color="auto" w:fill="C6D9F1" w:themeFill="text2" w:themeFillTint="33"/>
          </w:tcPr>
          <w:p w14:paraId="5B196754" w14:textId="77777777" w:rsidR="00A32C23" w:rsidRPr="00A90531" w:rsidRDefault="00A32C23" w:rsidP="001C28E9">
            <w:pPr>
              <w:rPr>
                <w:rFonts w:asciiTheme="majorHAnsi" w:hAnsiTheme="majorHAnsi" w:cs="Arial"/>
                <w:sz w:val="20"/>
                <w:szCs w:val="20"/>
                <w:lang w:val="en-GB"/>
              </w:rPr>
            </w:pPr>
          </w:p>
        </w:tc>
      </w:tr>
    </w:tbl>
    <w:p w14:paraId="32287488" w14:textId="77777777" w:rsidR="00F826B0" w:rsidRPr="00F826B0" w:rsidRDefault="00F826B0" w:rsidP="00A32C23">
      <w:pPr>
        <w:rPr>
          <w:rFonts w:asciiTheme="majorHAnsi" w:hAnsiTheme="majorHAnsi" w:cs="Arial"/>
          <w:b/>
          <w:u w:val="single"/>
          <w:lang w:val="en-GB"/>
        </w:rPr>
      </w:pPr>
    </w:p>
    <w:sectPr w:rsidR="00F826B0" w:rsidRPr="00F826B0" w:rsidSect="00953D72">
      <w:headerReference w:type="first" r:id="rId7"/>
      <w:footerReference w:type="first" r:id="rId8"/>
      <w:pgSz w:w="11900" w:h="16840"/>
      <w:pgMar w:top="1405" w:right="1127" w:bottom="900" w:left="1134" w:header="466"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B5562" w14:textId="77777777" w:rsidR="00DE08F3" w:rsidRDefault="00DE08F3" w:rsidP="00846B4F">
      <w:r>
        <w:separator/>
      </w:r>
    </w:p>
  </w:endnote>
  <w:endnote w:type="continuationSeparator" w:id="0">
    <w:p w14:paraId="4430907D" w14:textId="77777777" w:rsidR="00DE08F3" w:rsidRDefault="00DE08F3" w:rsidP="0084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pple Symbols">
    <w:panose1 w:val="02000000000000000000"/>
    <w:charset w:val="B1"/>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91F7" w14:textId="20325C52" w:rsidR="00FC5B02" w:rsidRPr="00FC5B02" w:rsidRDefault="00FC5B02" w:rsidP="00FC5B02">
    <w:pPr>
      <w:pStyle w:val="Footer"/>
      <w:jc w:val="center"/>
      <w:rPr>
        <w:rFonts w:ascii="Avenir Book" w:hAnsi="Avenir Book" w:cs="Apple Symbols"/>
        <w:color w:val="808080" w:themeColor="background1" w:themeShade="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7C332" w14:textId="77777777" w:rsidR="00DE08F3" w:rsidRDefault="00DE08F3" w:rsidP="00846B4F">
      <w:r>
        <w:separator/>
      </w:r>
    </w:p>
  </w:footnote>
  <w:footnote w:type="continuationSeparator" w:id="0">
    <w:p w14:paraId="318C2E28" w14:textId="77777777" w:rsidR="00DE08F3" w:rsidRDefault="00DE08F3" w:rsidP="00846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B489" w14:textId="202C07A9" w:rsidR="00FC5B02" w:rsidRDefault="00953D72" w:rsidP="00953D72">
    <w:pPr>
      <w:pStyle w:val="Header"/>
      <w:jc w:val="right"/>
    </w:pPr>
    <w:r>
      <w:tab/>
    </w:r>
    <w:r>
      <w:tab/>
      <w:t xml:space="preserve">    </w:t>
    </w:r>
    <w:r w:rsidRPr="00953D72">
      <w:drawing>
        <wp:inline distT="0" distB="0" distL="0" distR="0" wp14:anchorId="39CE579F" wp14:editId="2288E0C0">
          <wp:extent cx="1694518" cy="931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4686" cy="937578"/>
                  </a:xfrm>
                  <a:prstGeom prst="rect">
                    <a:avLst/>
                  </a:prstGeom>
                </pic:spPr>
              </pic:pic>
            </a:graphicData>
          </a:graphic>
        </wp:inline>
      </w:drawing>
    </w:r>
  </w:p>
  <w:p w14:paraId="0D509ACA" w14:textId="5157ADE3" w:rsidR="00887F20" w:rsidRDefault="00887F20" w:rsidP="00887F20">
    <w:pPr>
      <w:pStyle w:val="Header"/>
      <w:jc w:val="center"/>
    </w:pPr>
  </w:p>
  <w:p w14:paraId="684EFD40" w14:textId="77777777" w:rsidR="00FC5B02" w:rsidRDefault="00FC5B02" w:rsidP="00846B4F">
    <w:pPr>
      <w:pStyle w:val="Header"/>
    </w:pPr>
  </w:p>
  <w:p w14:paraId="39567BD8" w14:textId="77777777" w:rsidR="00FC5B02" w:rsidRDefault="00FC5B02" w:rsidP="00846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1" w15:restartNumberingAfterBreak="0">
    <w:nsid w:val="15A626D8"/>
    <w:multiLevelType w:val="multilevel"/>
    <w:tmpl w:val="E07E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9732F"/>
    <w:multiLevelType w:val="hybridMultilevel"/>
    <w:tmpl w:val="F34405A2"/>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 w15:restartNumberingAfterBreak="0">
    <w:nsid w:val="2AB236C4"/>
    <w:multiLevelType w:val="hybridMultilevel"/>
    <w:tmpl w:val="5844C3A4"/>
    <w:lvl w:ilvl="0" w:tplc="08090003">
      <w:start w:val="1"/>
      <w:numFmt w:val="bullet"/>
      <w:lvlText w:val="o"/>
      <w:lvlJc w:val="left"/>
      <w:pPr>
        <w:ind w:left="1038" w:hanging="360"/>
      </w:pPr>
      <w:rPr>
        <w:rFonts w:ascii="Courier New" w:hAnsi="Courier New" w:cs="Courier New"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 w15:restartNumberingAfterBreak="0">
    <w:nsid w:val="32BB601E"/>
    <w:multiLevelType w:val="hybridMultilevel"/>
    <w:tmpl w:val="4340631C"/>
    <w:lvl w:ilvl="0" w:tplc="08090003">
      <w:start w:val="1"/>
      <w:numFmt w:val="bullet"/>
      <w:lvlText w:val="o"/>
      <w:lvlJc w:val="left"/>
      <w:pPr>
        <w:ind w:left="1038" w:hanging="360"/>
      </w:pPr>
      <w:rPr>
        <w:rFonts w:ascii="Courier New" w:hAnsi="Courier New" w:cs="Courier New"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 w15:restartNumberingAfterBreak="0">
    <w:nsid w:val="424D3957"/>
    <w:multiLevelType w:val="hybridMultilevel"/>
    <w:tmpl w:val="AACE2D42"/>
    <w:lvl w:ilvl="0" w:tplc="CE8438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B1218"/>
    <w:multiLevelType w:val="hybridMultilevel"/>
    <w:tmpl w:val="B29A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E9"/>
    <w:rsid w:val="00024960"/>
    <w:rsid w:val="000358E3"/>
    <w:rsid w:val="00046974"/>
    <w:rsid w:val="000936F0"/>
    <w:rsid w:val="000C7719"/>
    <w:rsid w:val="00106D02"/>
    <w:rsid w:val="001342CA"/>
    <w:rsid w:val="001406F9"/>
    <w:rsid w:val="001C28E9"/>
    <w:rsid w:val="001C658D"/>
    <w:rsid w:val="001F00A4"/>
    <w:rsid w:val="00206F3D"/>
    <w:rsid w:val="00207A5E"/>
    <w:rsid w:val="00237EDA"/>
    <w:rsid w:val="00254C85"/>
    <w:rsid w:val="003C2E65"/>
    <w:rsid w:val="003E6F6A"/>
    <w:rsid w:val="00412ADE"/>
    <w:rsid w:val="0047631A"/>
    <w:rsid w:val="00491D69"/>
    <w:rsid w:val="004A0CB0"/>
    <w:rsid w:val="004A3372"/>
    <w:rsid w:val="004C0F8D"/>
    <w:rsid w:val="005109BB"/>
    <w:rsid w:val="005360D0"/>
    <w:rsid w:val="00586F5C"/>
    <w:rsid w:val="005A190E"/>
    <w:rsid w:val="006571DC"/>
    <w:rsid w:val="006F087C"/>
    <w:rsid w:val="007317D0"/>
    <w:rsid w:val="007B218C"/>
    <w:rsid w:val="007D3155"/>
    <w:rsid w:val="00801C57"/>
    <w:rsid w:val="00846B4F"/>
    <w:rsid w:val="00887F20"/>
    <w:rsid w:val="00892DC8"/>
    <w:rsid w:val="00910992"/>
    <w:rsid w:val="009519F2"/>
    <w:rsid w:val="00953D72"/>
    <w:rsid w:val="00956050"/>
    <w:rsid w:val="009B4BA7"/>
    <w:rsid w:val="00A32C23"/>
    <w:rsid w:val="00A90531"/>
    <w:rsid w:val="00B55FC2"/>
    <w:rsid w:val="00BF71DC"/>
    <w:rsid w:val="00C41404"/>
    <w:rsid w:val="00C5435B"/>
    <w:rsid w:val="00CB6CE2"/>
    <w:rsid w:val="00CD1B1E"/>
    <w:rsid w:val="00CF726A"/>
    <w:rsid w:val="00D41B8D"/>
    <w:rsid w:val="00D437FE"/>
    <w:rsid w:val="00D43CC4"/>
    <w:rsid w:val="00D70248"/>
    <w:rsid w:val="00D916FF"/>
    <w:rsid w:val="00DE08F3"/>
    <w:rsid w:val="00E151F4"/>
    <w:rsid w:val="00E7320E"/>
    <w:rsid w:val="00EA59E9"/>
    <w:rsid w:val="00EA5D30"/>
    <w:rsid w:val="00F826B0"/>
    <w:rsid w:val="00FB4C14"/>
    <w:rsid w:val="00FC5B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566A58"/>
  <w15:docId w15:val="{50A500BD-4F12-5B42-9A8C-97DF2ADE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B4F"/>
    <w:pPr>
      <w:tabs>
        <w:tab w:val="center" w:pos="4320"/>
        <w:tab w:val="right" w:pos="8640"/>
      </w:tabs>
    </w:pPr>
  </w:style>
  <w:style w:type="character" w:customStyle="1" w:styleId="HeaderChar">
    <w:name w:val="Header Char"/>
    <w:basedOn w:val="DefaultParagraphFont"/>
    <w:link w:val="Header"/>
    <w:uiPriority w:val="99"/>
    <w:rsid w:val="00846B4F"/>
  </w:style>
  <w:style w:type="paragraph" w:styleId="Footer">
    <w:name w:val="footer"/>
    <w:basedOn w:val="Normal"/>
    <w:link w:val="FooterChar"/>
    <w:uiPriority w:val="99"/>
    <w:unhideWhenUsed/>
    <w:rsid w:val="00846B4F"/>
    <w:pPr>
      <w:tabs>
        <w:tab w:val="center" w:pos="4320"/>
        <w:tab w:val="right" w:pos="8640"/>
      </w:tabs>
    </w:pPr>
  </w:style>
  <w:style w:type="character" w:customStyle="1" w:styleId="FooterChar">
    <w:name w:val="Footer Char"/>
    <w:basedOn w:val="DefaultParagraphFont"/>
    <w:link w:val="Footer"/>
    <w:uiPriority w:val="99"/>
    <w:rsid w:val="00846B4F"/>
  </w:style>
  <w:style w:type="paragraph" w:styleId="BalloonText">
    <w:name w:val="Balloon Text"/>
    <w:basedOn w:val="Normal"/>
    <w:link w:val="BalloonTextChar"/>
    <w:uiPriority w:val="99"/>
    <w:semiHidden/>
    <w:unhideWhenUsed/>
    <w:rsid w:val="00846B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6B4F"/>
    <w:rPr>
      <w:rFonts w:ascii="Lucida Grande" w:hAnsi="Lucida Grande" w:cs="Lucida Grande"/>
      <w:sz w:val="18"/>
      <w:szCs w:val="18"/>
    </w:rPr>
  </w:style>
  <w:style w:type="character" w:styleId="Hyperlink">
    <w:name w:val="Hyperlink"/>
    <w:basedOn w:val="DefaultParagraphFont"/>
    <w:uiPriority w:val="99"/>
    <w:unhideWhenUsed/>
    <w:rsid w:val="00046974"/>
    <w:rPr>
      <w:color w:val="0000FF" w:themeColor="hyperlink"/>
      <w:u w:val="single"/>
    </w:rPr>
  </w:style>
  <w:style w:type="paragraph" w:styleId="NormalWeb">
    <w:name w:val="Normal (Web)"/>
    <w:basedOn w:val="Normal"/>
    <w:uiPriority w:val="99"/>
    <w:semiHidden/>
    <w:unhideWhenUsed/>
    <w:rsid w:val="00892DC8"/>
    <w:pPr>
      <w:spacing w:before="100" w:beforeAutospacing="1" w:after="100" w:afterAutospacing="1"/>
    </w:pPr>
    <w:rPr>
      <w:rFonts w:ascii="Times New Roman" w:hAnsi="Times New Roman" w:cs="Times New Roman"/>
      <w:lang w:val="en-GB" w:eastAsia="en-GB"/>
    </w:rPr>
  </w:style>
  <w:style w:type="table" w:styleId="TableGrid">
    <w:name w:val="Table Grid"/>
    <w:basedOn w:val="TableNormal"/>
    <w:uiPriority w:val="59"/>
    <w:rsid w:val="001C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375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charity/Library/Group%20Containers/UBF8T346G9.Office/User%20Content.localized/Templates.localized/1%20GDP%20Armou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 GDP Armour letter.dotx</Template>
  <TotalTime>43</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Action &amp; Answers</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8</cp:revision>
  <cp:lastPrinted>2018-02-26T17:36:00Z</cp:lastPrinted>
  <dcterms:created xsi:type="dcterms:W3CDTF">2018-06-26T14:56:00Z</dcterms:created>
  <dcterms:modified xsi:type="dcterms:W3CDTF">2019-04-02T17:49:00Z</dcterms:modified>
</cp:coreProperties>
</file>