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E9026" w14:textId="55DA53EE" w:rsidR="00C5435B" w:rsidRPr="00F826B0" w:rsidRDefault="00C5435B" w:rsidP="001C28E9">
      <w:pPr>
        <w:rPr>
          <w:rFonts w:asciiTheme="majorHAnsi" w:hAnsiTheme="majorHAnsi" w:cs="Arial"/>
          <w:b/>
          <w:sz w:val="28"/>
          <w:u w:val="single"/>
          <w:lang w:val="en-GB"/>
        </w:rPr>
      </w:pPr>
      <w:r w:rsidRPr="00F826B0">
        <w:rPr>
          <w:rFonts w:asciiTheme="majorHAnsi" w:hAnsiTheme="majorHAnsi" w:cs="Arial"/>
          <w:b/>
          <w:sz w:val="28"/>
          <w:u w:val="single"/>
          <w:lang w:val="en-GB"/>
        </w:rPr>
        <w:t>Pr</w:t>
      </w:r>
      <w:r w:rsidR="00F826B0" w:rsidRPr="00F826B0">
        <w:rPr>
          <w:rFonts w:asciiTheme="majorHAnsi" w:hAnsiTheme="majorHAnsi" w:cs="Arial"/>
          <w:b/>
          <w:sz w:val="28"/>
          <w:u w:val="single"/>
          <w:lang w:val="en-GB"/>
        </w:rPr>
        <w:t xml:space="preserve">ocessor Agreement </w:t>
      </w:r>
      <w:r w:rsidRPr="00F826B0">
        <w:rPr>
          <w:rFonts w:asciiTheme="majorHAnsi" w:hAnsiTheme="majorHAnsi" w:cs="Arial"/>
          <w:b/>
          <w:sz w:val="28"/>
          <w:u w:val="single"/>
          <w:lang w:val="en-GB"/>
        </w:rPr>
        <w:t>Compliance Checklist</w:t>
      </w:r>
    </w:p>
    <w:p w14:paraId="570CDAAB" w14:textId="77777777" w:rsidR="00C5435B" w:rsidRPr="00F826B0" w:rsidRDefault="00C5435B" w:rsidP="001C28E9">
      <w:pPr>
        <w:rPr>
          <w:rFonts w:asciiTheme="majorHAnsi" w:hAnsiTheme="majorHAnsi" w:cs="Arial"/>
          <w:b/>
          <w:u w:val="single"/>
          <w:lang w:val="en-GB"/>
        </w:rPr>
      </w:pPr>
    </w:p>
    <w:p w14:paraId="232DBC4C" w14:textId="336181E3" w:rsidR="00910992" w:rsidRPr="00953D72" w:rsidRDefault="00C5435B" w:rsidP="001C28E9">
      <w:pPr>
        <w:rPr>
          <w:rFonts w:asciiTheme="majorHAnsi" w:hAnsiTheme="majorHAnsi" w:cs="Arial"/>
          <w:b/>
          <w:lang w:val="en-GB"/>
        </w:rPr>
      </w:pPr>
      <w:r w:rsidRPr="00953D72">
        <w:rPr>
          <w:rFonts w:asciiTheme="majorHAnsi" w:hAnsiTheme="majorHAnsi" w:cs="Arial"/>
          <w:b/>
          <w:lang w:val="en-GB"/>
        </w:rPr>
        <w:t>Information to be pr</w:t>
      </w:r>
      <w:r w:rsidR="00F826B0" w:rsidRPr="00953D72">
        <w:rPr>
          <w:rFonts w:asciiTheme="majorHAnsi" w:hAnsiTheme="majorHAnsi" w:cs="Arial"/>
          <w:b/>
          <w:lang w:val="en-GB"/>
        </w:rPr>
        <w:t>ovided where personal data are transferred to a Processor under strict instructions and assurances of security and confidentiality</w:t>
      </w:r>
    </w:p>
    <w:p w14:paraId="072F06E7" w14:textId="77777777" w:rsidR="00F826B0" w:rsidRPr="00F826B0" w:rsidRDefault="00F826B0" w:rsidP="001C28E9">
      <w:pPr>
        <w:rPr>
          <w:rFonts w:asciiTheme="majorHAnsi" w:hAnsiTheme="majorHAnsi" w:cs="Arial"/>
          <w:b/>
          <w:u w:val="single"/>
          <w:lang w:val="en-GB"/>
        </w:rPr>
      </w:pPr>
    </w:p>
    <w:tbl>
      <w:tblPr>
        <w:tblStyle w:val="TableGrid"/>
        <w:tblW w:w="9781" w:type="dxa"/>
        <w:tblInd w:w="-16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4084"/>
        <w:gridCol w:w="878"/>
        <w:gridCol w:w="4819"/>
      </w:tblGrid>
      <w:tr w:rsidR="009B4BA7" w:rsidRPr="00F826B0" w14:paraId="3C2EB2BA" w14:textId="77777777" w:rsidTr="00CC7D13">
        <w:trPr>
          <w:trHeight w:val="500"/>
        </w:trPr>
        <w:tc>
          <w:tcPr>
            <w:tcW w:w="4084" w:type="dxa"/>
            <w:shd w:val="clear" w:color="auto" w:fill="FFFFFF" w:themeFill="background1"/>
            <w:vAlign w:val="center"/>
          </w:tcPr>
          <w:p w14:paraId="5D3DC6A0" w14:textId="197FB124" w:rsidR="00F826B0" w:rsidRPr="00F826B0" w:rsidRDefault="00F826B0" w:rsidP="00CC7D13">
            <w:pPr>
              <w:spacing w:before="120" w:after="120"/>
              <w:rPr>
                <w:rFonts w:asciiTheme="majorHAnsi" w:hAnsiTheme="majorHAnsi" w:cs="Arial"/>
                <w:b/>
                <w:lang w:val="en-GB"/>
              </w:rPr>
            </w:pPr>
            <w:r w:rsidRPr="00F826B0">
              <w:rPr>
                <w:rFonts w:asciiTheme="majorHAnsi" w:hAnsiTheme="majorHAnsi" w:cs="Arial"/>
                <w:b/>
                <w:lang w:val="en-GB"/>
              </w:rPr>
              <w:t>Item</w:t>
            </w:r>
          </w:p>
        </w:tc>
        <w:tc>
          <w:tcPr>
            <w:tcW w:w="878" w:type="dxa"/>
            <w:shd w:val="clear" w:color="auto" w:fill="FFFFFF" w:themeFill="background1"/>
            <w:vAlign w:val="center"/>
          </w:tcPr>
          <w:p w14:paraId="25F9DAB1" w14:textId="52BB6926" w:rsidR="00F826B0" w:rsidRPr="00F826B0" w:rsidRDefault="00F826B0" w:rsidP="00CC7D13">
            <w:pPr>
              <w:spacing w:before="120" w:after="120"/>
              <w:rPr>
                <w:rFonts w:asciiTheme="majorHAnsi" w:hAnsiTheme="majorHAnsi" w:cs="Arial"/>
                <w:b/>
                <w:lang w:val="en-GB"/>
              </w:rPr>
            </w:pPr>
            <w:r w:rsidRPr="00F826B0">
              <w:rPr>
                <w:rFonts w:asciiTheme="majorHAnsi" w:hAnsiTheme="majorHAnsi" w:cs="Arial"/>
                <w:b/>
                <w:lang w:val="en-GB"/>
              </w:rPr>
              <w:t>Article</w:t>
            </w:r>
          </w:p>
        </w:tc>
        <w:tc>
          <w:tcPr>
            <w:tcW w:w="4819" w:type="dxa"/>
            <w:shd w:val="clear" w:color="auto" w:fill="FFFFFF" w:themeFill="background1"/>
            <w:vAlign w:val="center"/>
          </w:tcPr>
          <w:p w14:paraId="7D4787B9" w14:textId="7ABDC40C" w:rsidR="00F826B0" w:rsidRPr="00F826B0" w:rsidRDefault="00F826B0" w:rsidP="00CC7D13">
            <w:pPr>
              <w:spacing w:before="120" w:after="120"/>
              <w:rPr>
                <w:rFonts w:asciiTheme="majorHAnsi" w:hAnsiTheme="majorHAnsi" w:cs="Arial"/>
                <w:b/>
                <w:lang w:val="en-GB"/>
              </w:rPr>
            </w:pPr>
            <w:r w:rsidRPr="00F826B0">
              <w:rPr>
                <w:rFonts w:asciiTheme="majorHAnsi" w:hAnsiTheme="majorHAnsi" w:cs="Arial"/>
                <w:b/>
                <w:lang w:val="en-GB"/>
              </w:rPr>
              <w:t>Assessment</w:t>
            </w:r>
          </w:p>
        </w:tc>
      </w:tr>
      <w:tr w:rsidR="009B4BA7" w:rsidRPr="00F826B0" w14:paraId="142EAC8B" w14:textId="77777777" w:rsidTr="00CC7D13">
        <w:tc>
          <w:tcPr>
            <w:tcW w:w="4084" w:type="dxa"/>
            <w:shd w:val="clear" w:color="auto" w:fill="FFFFFF" w:themeFill="background1"/>
          </w:tcPr>
          <w:p w14:paraId="668B6069" w14:textId="0383D7C7" w:rsidR="00F826B0" w:rsidRPr="00A90531" w:rsidRDefault="00F826B0"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Processor is providing sufficient guarantees to implement appropriate technical and organizational measures</w:t>
            </w:r>
          </w:p>
        </w:tc>
        <w:tc>
          <w:tcPr>
            <w:tcW w:w="878" w:type="dxa"/>
            <w:shd w:val="clear" w:color="auto" w:fill="FFFFFF" w:themeFill="background1"/>
          </w:tcPr>
          <w:p w14:paraId="0BFE89FE" w14:textId="00DDC446" w:rsidR="00F826B0" w:rsidRPr="00A90531" w:rsidRDefault="00F826B0"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28.1</w:t>
            </w:r>
          </w:p>
        </w:tc>
        <w:tc>
          <w:tcPr>
            <w:tcW w:w="4819" w:type="dxa"/>
            <w:shd w:val="clear" w:color="auto" w:fill="FFFFFF" w:themeFill="background1"/>
          </w:tcPr>
          <w:p w14:paraId="3F0093B0"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1219B719" w14:textId="77777777" w:rsidTr="00CC7D13">
        <w:tc>
          <w:tcPr>
            <w:tcW w:w="4084" w:type="dxa"/>
            <w:shd w:val="clear" w:color="auto" w:fill="FFFFFF" w:themeFill="background1"/>
          </w:tcPr>
          <w:p w14:paraId="5D9E0FA9" w14:textId="363B3C59" w:rsidR="00F826B0" w:rsidRPr="00A90531" w:rsidRDefault="00F826B0"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Processor does not engage another processor without prior specific written authorisation from the controller</w:t>
            </w:r>
          </w:p>
        </w:tc>
        <w:tc>
          <w:tcPr>
            <w:tcW w:w="878" w:type="dxa"/>
            <w:shd w:val="clear" w:color="auto" w:fill="FFFFFF" w:themeFill="background1"/>
          </w:tcPr>
          <w:p w14:paraId="13CBA4F5" w14:textId="497FC3E9" w:rsidR="00F826B0" w:rsidRPr="00A90531" w:rsidRDefault="00F826B0"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28.2</w:t>
            </w:r>
          </w:p>
        </w:tc>
        <w:tc>
          <w:tcPr>
            <w:tcW w:w="4819" w:type="dxa"/>
            <w:shd w:val="clear" w:color="auto" w:fill="FFFFFF" w:themeFill="background1"/>
          </w:tcPr>
          <w:p w14:paraId="06840753"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66337793" w14:textId="77777777" w:rsidTr="00CC7D13">
        <w:tc>
          <w:tcPr>
            <w:tcW w:w="4084" w:type="dxa"/>
            <w:shd w:val="clear" w:color="auto" w:fill="FFFFFF" w:themeFill="background1"/>
          </w:tcPr>
          <w:p w14:paraId="7F91F98B" w14:textId="79AEC190" w:rsidR="00F826B0" w:rsidRPr="00A90531" w:rsidRDefault="009B4BA7"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Processing is governed by a contract or other legal act that is binding on the processor by setting out:</w:t>
            </w:r>
          </w:p>
        </w:tc>
        <w:tc>
          <w:tcPr>
            <w:tcW w:w="878" w:type="dxa"/>
            <w:shd w:val="clear" w:color="auto" w:fill="FFFFFF" w:themeFill="background1"/>
          </w:tcPr>
          <w:p w14:paraId="1E1F43EE" w14:textId="0C981EEF" w:rsidR="00F826B0" w:rsidRPr="00A90531" w:rsidRDefault="00F826B0" w:rsidP="00CC7D13">
            <w:pPr>
              <w:spacing w:before="120" w:after="120"/>
              <w:rPr>
                <w:rFonts w:asciiTheme="majorHAnsi" w:hAnsiTheme="majorHAnsi" w:cs="Arial"/>
                <w:sz w:val="20"/>
                <w:szCs w:val="20"/>
                <w:lang w:val="en-GB"/>
              </w:rPr>
            </w:pPr>
          </w:p>
        </w:tc>
        <w:tc>
          <w:tcPr>
            <w:tcW w:w="4819" w:type="dxa"/>
            <w:shd w:val="clear" w:color="auto" w:fill="FFFFFF" w:themeFill="background1"/>
          </w:tcPr>
          <w:p w14:paraId="307DD3CF"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025064A6" w14:textId="77777777" w:rsidTr="00CC7D13">
        <w:tc>
          <w:tcPr>
            <w:tcW w:w="4084" w:type="dxa"/>
            <w:shd w:val="clear" w:color="auto" w:fill="FFFFFF" w:themeFill="background1"/>
          </w:tcPr>
          <w:p w14:paraId="5F7F3843" w14:textId="5265D0D5" w:rsidR="00F826B0" w:rsidRPr="00A90531" w:rsidRDefault="009B4BA7"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Subject-matter of the processing</w:t>
            </w:r>
          </w:p>
        </w:tc>
        <w:tc>
          <w:tcPr>
            <w:tcW w:w="878" w:type="dxa"/>
            <w:shd w:val="clear" w:color="auto" w:fill="FFFFFF" w:themeFill="background1"/>
          </w:tcPr>
          <w:p w14:paraId="2E9E57D4" w14:textId="3EFC3F53" w:rsidR="00F826B0" w:rsidRPr="00A90531" w:rsidRDefault="009B4BA7"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FFFFFF" w:themeFill="background1"/>
          </w:tcPr>
          <w:p w14:paraId="0B9C32AA"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226DBA08" w14:textId="77777777" w:rsidTr="00CC7D13">
        <w:tc>
          <w:tcPr>
            <w:tcW w:w="4084" w:type="dxa"/>
            <w:shd w:val="clear" w:color="auto" w:fill="FFFFFF" w:themeFill="background1"/>
          </w:tcPr>
          <w:p w14:paraId="6131F351" w14:textId="270961CF" w:rsidR="00F826B0" w:rsidRPr="00A90531" w:rsidRDefault="009B4BA7"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Duration of the processing</w:t>
            </w:r>
          </w:p>
        </w:tc>
        <w:tc>
          <w:tcPr>
            <w:tcW w:w="878" w:type="dxa"/>
            <w:shd w:val="clear" w:color="auto" w:fill="FFFFFF" w:themeFill="background1"/>
          </w:tcPr>
          <w:p w14:paraId="5450616A" w14:textId="6E162D37" w:rsidR="00F826B0" w:rsidRPr="00A90531" w:rsidRDefault="009B4BA7"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FFFFFF" w:themeFill="background1"/>
          </w:tcPr>
          <w:p w14:paraId="2AB5FB12"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1F9F2B40" w14:textId="77777777" w:rsidTr="00CC7D13">
        <w:tc>
          <w:tcPr>
            <w:tcW w:w="4084" w:type="dxa"/>
            <w:shd w:val="clear" w:color="auto" w:fill="FFFFFF" w:themeFill="background1"/>
          </w:tcPr>
          <w:p w14:paraId="66868C3C" w14:textId="2DFA014A" w:rsidR="00F826B0" w:rsidRPr="00A90531" w:rsidRDefault="009B4BA7"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Nature of the processing</w:t>
            </w:r>
          </w:p>
        </w:tc>
        <w:tc>
          <w:tcPr>
            <w:tcW w:w="878" w:type="dxa"/>
            <w:shd w:val="clear" w:color="auto" w:fill="FFFFFF" w:themeFill="background1"/>
          </w:tcPr>
          <w:p w14:paraId="52BED700" w14:textId="76CAA40C" w:rsidR="00F826B0" w:rsidRPr="00A90531" w:rsidRDefault="009B4BA7"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FFFFFF" w:themeFill="background1"/>
          </w:tcPr>
          <w:p w14:paraId="7E4B08D7"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5BA49C45" w14:textId="77777777" w:rsidTr="00CC7D13">
        <w:tc>
          <w:tcPr>
            <w:tcW w:w="4084" w:type="dxa"/>
            <w:shd w:val="clear" w:color="auto" w:fill="FFFFFF" w:themeFill="background1"/>
          </w:tcPr>
          <w:p w14:paraId="384AF591" w14:textId="6B104B79" w:rsidR="00F826B0" w:rsidRPr="00A90531"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Purpose of the processing</w:t>
            </w:r>
          </w:p>
        </w:tc>
        <w:tc>
          <w:tcPr>
            <w:tcW w:w="878" w:type="dxa"/>
            <w:shd w:val="clear" w:color="auto" w:fill="FFFFFF" w:themeFill="background1"/>
          </w:tcPr>
          <w:p w14:paraId="2EBB81CF" w14:textId="77777777" w:rsidR="00F826B0" w:rsidRPr="00A90531" w:rsidRDefault="00F826B0" w:rsidP="00CC7D13">
            <w:pPr>
              <w:spacing w:before="120" w:after="120"/>
              <w:rPr>
                <w:rFonts w:asciiTheme="majorHAnsi" w:hAnsiTheme="majorHAnsi" w:cs="Arial"/>
                <w:sz w:val="20"/>
                <w:szCs w:val="20"/>
                <w:lang w:val="en-GB"/>
              </w:rPr>
            </w:pPr>
          </w:p>
        </w:tc>
        <w:tc>
          <w:tcPr>
            <w:tcW w:w="4819" w:type="dxa"/>
            <w:shd w:val="clear" w:color="auto" w:fill="FFFFFF" w:themeFill="background1"/>
          </w:tcPr>
          <w:p w14:paraId="6A6FBCA3"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10E27984" w14:textId="77777777" w:rsidTr="00CC7D13">
        <w:tc>
          <w:tcPr>
            <w:tcW w:w="4084" w:type="dxa"/>
            <w:shd w:val="clear" w:color="auto" w:fill="FFFFFF" w:themeFill="background1"/>
          </w:tcPr>
          <w:p w14:paraId="550BE1DA" w14:textId="6B2C47C2" w:rsidR="00F826B0" w:rsidRPr="00A90531"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Type of personal data</w:t>
            </w:r>
          </w:p>
        </w:tc>
        <w:tc>
          <w:tcPr>
            <w:tcW w:w="878" w:type="dxa"/>
            <w:shd w:val="clear" w:color="auto" w:fill="FFFFFF" w:themeFill="background1"/>
          </w:tcPr>
          <w:p w14:paraId="43E4396B" w14:textId="16667A4C" w:rsidR="00F826B0" w:rsidRPr="00A90531" w:rsidRDefault="00237EDA"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FFFFFF" w:themeFill="background1"/>
          </w:tcPr>
          <w:p w14:paraId="257B93D1" w14:textId="77777777" w:rsidR="00F826B0" w:rsidRPr="00A90531" w:rsidRDefault="00F826B0" w:rsidP="00CC7D13">
            <w:pPr>
              <w:spacing w:before="120" w:after="120"/>
              <w:rPr>
                <w:rFonts w:asciiTheme="majorHAnsi" w:hAnsiTheme="majorHAnsi" w:cs="Arial"/>
                <w:sz w:val="20"/>
                <w:szCs w:val="20"/>
                <w:lang w:val="en-GB"/>
              </w:rPr>
            </w:pPr>
          </w:p>
        </w:tc>
      </w:tr>
      <w:tr w:rsidR="009B4BA7" w:rsidRPr="00F826B0" w14:paraId="731F795C" w14:textId="77777777" w:rsidTr="00CC7D13">
        <w:tc>
          <w:tcPr>
            <w:tcW w:w="4084" w:type="dxa"/>
            <w:shd w:val="clear" w:color="auto" w:fill="FFFFFF" w:themeFill="background1"/>
          </w:tcPr>
          <w:p w14:paraId="5B5C8675" w14:textId="1CC9BF69" w:rsidR="00F826B0" w:rsidRPr="00A90531"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Categories of personal data</w:t>
            </w:r>
          </w:p>
        </w:tc>
        <w:tc>
          <w:tcPr>
            <w:tcW w:w="878" w:type="dxa"/>
            <w:shd w:val="clear" w:color="auto" w:fill="FFFFFF" w:themeFill="background1"/>
          </w:tcPr>
          <w:p w14:paraId="079F179D" w14:textId="4E31DB17" w:rsidR="00F826B0" w:rsidRPr="00A90531" w:rsidRDefault="00237EDA"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FFFFFF" w:themeFill="background1"/>
          </w:tcPr>
          <w:p w14:paraId="7D59A518" w14:textId="77777777" w:rsidR="00F826B0" w:rsidRPr="00A90531" w:rsidRDefault="00F826B0" w:rsidP="00CC7D13">
            <w:pPr>
              <w:spacing w:before="120" w:after="120"/>
              <w:rPr>
                <w:rFonts w:asciiTheme="majorHAnsi" w:hAnsiTheme="majorHAnsi" w:cs="Arial"/>
                <w:sz w:val="20"/>
                <w:szCs w:val="20"/>
                <w:lang w:val="en-GB"/>
              </w:rPr>
            </w:pPr>
          </w:p>
        </w:tc>
      </w:tr>
      <w:tr w:rsidR="00237EDA" w:rsidRPr="00F826B0" w14:paraId="252269AD" w14:textId="77777777" w:rsidTr="00CC7D13">
        <w:tc>
          <w:tcPr>
            <w:tcW w:w="4084" w:type="dxa"/>
            <w:shd w:val="clear" w:color="auto" w:fill="FFFFFF" w:themeFill="background1"/>
          </w:tcPr>
          <w:p w14:paraId="49EF5FD1" w14:textId="339057FA" w:rsidR="00237EDA" w:rsidRPr="00A90531"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Obligations and rights of the controller</w:t>
            </w:r>
          </w:p>
        </w:tc>
        <w:tc>
          <w:tcPr>
            <w:tcW w:w="878" w:type="dxa"/>
            <w:shd w:val="clear" w:color="auto" w:fill="FFFFFF" w:themeFill="background1"/>
          </w:tcPr>
          <w:p w14:paraId="7F3BBA86" w14:textId="438BD1E2" w:rsidR="00237EDA" w:rsidRPr="00A90531" w:rsidRDefault="00237EDA"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FFFFFF" w:themeFill="background1"/>
          </w:tcPr>
          <w:p w14:paraId="316FB292" w14:textId="77777777" w:rsidR="00237EDA" w:rsidRPr="00A90531" w:rsidRDefault="00237EDA" w:rsidP="00CC7D13">
            <w:pPr>
              <w:spacing w:before="120" w:after="120"/>
              <w:rPr>
                <w:rFonts w:asciiTheme="majorHAnsi" w:hAnsiTheme="majorHAnsi" w:cs="Arial"/>
                <w:sz w:val="20"/>
                <w:szCs w:val="20"/>
                <w:lang w:val="en-GB"/>
              </w:rPr>
            </w:pPr>
          </w:p>
        </w:tc>
      </w:tr>
      <w:tr w:rsidR="00237EDA" w:rsidRPr="00F826B0" w14:paraId="1A934BCD" w14:textId="77777777" w:rsidTr="00CC7D13">
        <w:tc>
          <w:tcPr>
            <w:tcW w:w="4084" w:type="dxa"/>
            <w:shd w:val="clear" w:color="auto" w:fill="FFFFFF" w:themeFill="background1"/>
          </w:tcPr>
          <w:p w14:paraId="4ADF4BBC" w14:textId="02F0502F" w:rsidR="00237EDA" w:rsidRPr="00A90531" w:rsidRDefault="00237EDA"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The contract specifically stipulates:</w:t>
            </w:r>
          </w:p>
        </w:tc>
        <w:tc>
          <w:tcPr>
            <w:tcW w:w="878" w:type="dxa"/>
            <w:shd w:val="clear" w:color="auto" w:fill="FFFFFF" w:themeFill="background1"/>
          </w:tcPr>
          <w:p w14:paraId="736954A5" w14:textId="7674360E" w:rsidR="00237EDA"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28.3</w:t>
            </w:r>
          </w:p>
        </w:tc>
        <w:tc>
          <w:tcPr>
            <w:tcW w:w="4819" w:type="dxa"/>
            <w:shd w:val="clear" w:color="auto" w:fill="FFFFFF" w:themeFill="background1"/>
          </w:tcPr>
          <w:p w14:paraId="2AE1269E" w14:textId="77777777" w:rsidR="00237EDA" w:rsidRPr="00A90531" w:rsidRDefault="00237EDA" w:rsidP="00CC7D13">
            <w:pPr>
              <w:spacing w:before="120" w:after="120"/>
              <w:rPr>
                <w:rFonts w:asciiTheme="majorHAnsi" w:hAnsiTheme="majorHAnsi" w:cs="Arial"/>
                <w:sz w:val="20"/>
                <w:szCs w:val="20"/>
                <w:lang w:val="en-GB"/>
              </w:rPr>
            </w:pPr>
          </w:p>
        </w:tc>
      </w:tr>
      <w:tr w:rsidR="00237EDA" w:rsidRPr="00F826B0" w14:paraId="384F3E8E" w14:textId="77777777" w:rsidTr="00CC7D13">
        <w:tc>
          <w:tcPr>
            <w:tcW w:w="4084" w:type="dxa"/>
            <w:shd w:val="clear" w:color="auto" w:fill="FFFFFF" w:themeFill="background1"/>
          </w:tcPr>
          <w:p w14:paraId="0F732D65" w14:textId="799E12F5" w:rsidR="00237EDA" w:rsidRPr="00A90531"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The processor processor only on documented instructions from the controller, including with regard to transfer to a third country.</w:t>
            </w:r>
          </w:p>
        </w:tc>
        <w:tc>
          <w:tcPr>
            <w:tcW w:w="878" w:type="dxa"/>
            <w:shd w:val="clear" w:color="auto" w:fill="FFFFFF" w:themeFill="background1"/>
          </w:tcPr>
          <w:p w14:paraId="50A12700" w14:textId="4EFDB777" w:rsidR="00237EDA"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(a)</w:t>
            </w:r>
          </w:p>
        </w:tc>
        <w:tc>
          <w:tcPr>
            <w:tcW w:w="4819" w:type="dxa"/>
            <w:shd w:val="clear" w:color="auto" w:fill="FFFFFF" w:themeFill="background1"/>
          </w:tcPr>
          <w:p w14:paraId="51620464" w14:textId="77777777" w:rsidR="00237EDA" w:rsidRPr="00A90531" w:rsidRDefault="00237EDA" w:rsidP="00CC7D13">
            <w:pPr>
              <w:spacing w:before="120" w:after="120"/>
              <w:rPr>
                <w:rFonts w:asciiTheme="majorHAnsi" w:hAnsiTheme="majorHAnsi" w:cs="Arial"/>
                <w:sz w:val="20"/>
                <w:szCs w:val="20"/>
                <w:lang w:val="en-GB"/>
              </w:rPr>
            </w:pPr>
          </w:p>
        </w:tc>
      </w:tr>
      <w:tr w:rsidR="00237EDA" w:rsidRPr="00F826B0" w14:paraId="5EBDF441" w14:textId="77777777" w:rsidTr="00CC7D13">
        <w:tc>
          <w:tcPr>
            <w:tcW w:w="4084" w:type="dxa"/>
            <w:shd w:val="clear" w:color="auto" w:fill="FFFFFF" w:themeFill="background1"/>
          </w:tcPr>
          <w:p w14:paraId="1CD7AEDE" w14:textId="62140D4C" w:rsidR="00237EDA" w:rsidRPr="00A90531"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The persons authorised to process the personal data have committed themselves to confidentiality under a statute of obligation.</w:t>
            </w:r>
          </w:p>
        </w:tc>
        <w:tc>
          <w:tcPr>
            <w:tcW w:w="878" w:type="dxa"/>
            <w:shd w:val="clear" w:color="auto" w:fill="FFFFFF" w:themeFill="background1"/>
          </w:tcPr>
          <w:p w14:paraId="195C38EB" w14:textId="7B35835E" w:rsidR="00237EDA"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(b)</w:t>
            </w:r>
          </w:p>
        </w:tc>
        <w:tc>
          <w:tcPr>
            <w:tcW w:w="4819" w:type="dxa"/>
            <w:shd w:val="clear" w:color="auto" w:fill="FFFFFF" w:themeFill="background1"/>
          </w:tcPr>
          <w:p w14:paraId="020040AE" w14:textId="77777777" w:rsidR="00237EDA" w:rsidRPr="00A90531" w:rsidRDefault="00237EDA" w:rsidP="00CC7D13">
            <w:pPr>
              <w:spacing w:before="120" w:after="120"/>
              <w:rPr>
                <w:rFonts w:asciiTheme="majorHAnsi" w:hAnsiTheme="majorHAnsi" w:cs="Arial"/>
                <w:sz w:val="20"/>
                <w:szCs w:val="20"/>
                <w:lang w:val="en-GB"/>
              </w:rPr>
            </w:pPr>
          </w:p>
        </w:tc>
      </w:tr>
      <w:tr w:rsidR="00237EDA" w:rsidRPr="00F826B0" w14:paraId="72B4E481" w14:textId="77777777" w:rsidTr="00CC7D13">
        <w:tc>
          <w:tcPr>
            <w:tcW w:w="4084" w:type="dxa"/>
            <w:shd w:val="clear" w:color="auto" w:fill="FFFFFF" w:themeFill="background1"/>
          </w:tcPr>
          <w:p w14:paraId="24F659BD" w14:textId="6334461D" w:rsidR="000C7719"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 xml:space="preserve">The processor has taken all </w:t>
            </w:r>
            <w:r w:rsidR="00A32C23">
              <w:rPr>
                <w:rFonts w:asciiTheme="majorHAnsi" w:hAnsiTheme="majorHAnsi" w:cs="Arial"/>
                <w:sz w:val="20"/>
                <w:szCs w:val="20"/>
                <w:lang w:val="en-GB"/>
              </w:rPr>
              <w:t xml:space="preserve">appropriate </w:t>
            </w:r>
            <w:r w:rsidRPr="00A90531">
              <w:rPr>
                <w:rFonts w:asciiTheme="majorHAnsi" w:hAnsiTheme="majorHAnsi" w:cs="Arial"/>
                <w:sz w:val="20"/>
                <w:szCs w:val="20"/>
                <w:lang w:val="en-GB"/>
              </w:rPr>
              <w:t>mea</w:t>
            </w:r>
            <w:r w:rsidR="000C7719">
              <w:rPr>
                <w:rFonts w:asciiTheme="majorHAnsi" w:hAnsiTheme="majorHAnsi" w:cs="Arial"/>
                <w:sz w:val="20"/>
                <w:szCs w:val="20"/>
                <w:lang w:val="en-GB"/>
              </w:rPr>
              <w:t>sures</w:t>
            </w:r>
            <w:r w:rsidR="00A32C23">
              <w:rPr>
                <w:rFonts w:asciiTheme="majorHAnsi" w:hAnsiTheme="majorHAnsi" w:cs="Arial"/>
                <w:sz w:val="20"/>
                <w:szCs w:val="20"/>
                <w:lang w:val="en-GB"/>
              </w:rPr>
              <w:t xml:space="preserve"> to secure Personal Data </w:t>
            </w:r>
            <w:r w:rsidR="000C7719">
              <w:rPr>
                <w:rFonts w:asciiTheme="majorHAnsi" w:hAnsiTheme="majorHAnsi" w:cs="Arial"/>
                <w:sz w:val="20"/>
                <w:szCs w:val="20"/>
                <w:lang w:val="en-GB"/>
              </w:rPr>
              <w:t>under Article 32, namely:</w:t>
            </w:r>
          </w:p>
          <w:p w14:paraId="77101813" w14:textId="2DEA3DF3" w:rsidR="00A32C23" w:rsidRPr="00A32C23" w:rsidRDefault="000C7719" w:rsidP="00CC7D13">
            <w:pPr>
              <w:pStyle w:val="ListParagraph"/>
              <w:numPr>
                <w:ilvl w:val="0"/>
                <w:numId w:val="6"/>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Pseudonymisation</w:t>
            </w:r>
            <w:r w:rsidR="00A32C23">
              <w:rPr>
                <w:rFonts w:asciiTheme="majorHAnsi" w:hAnsiTheme="majorHAnsi" w:cs="Arial"/>
                <w:sz w:val="20"/>
                <w:szCs w:val="20"/>
                <w:lang w:val="en-GB"/>
              </w:rPr>
              <w:t xml:space="preserve"> and encryption</w:t>
            </w:r>
          </w:p>
          <w:p w14:paraId="46F38DF6" w14:textId="77777777" w:rsidR="000C7719" w:rsidRDefault="00A32C23" w:rsidP="00CC7D13">
            <w:pPr>
              <w:pStyle w:val="ListParagraph"/>
              <w:numPr>
                <w:ilvl w:val="0"/>
                <w:numId w:val="6"/>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Ongoing confidentiality, availability, resilience</w:t>
            </w:r>
          </w:p>
          <w:p w14:paraId="20A3776E" w14:textId="77777777" w:rsidR="00A32C23" w:rsidRDefault="00A32C23" w:rsidP="00CC7D13">
            <w:pPr>
              <w:pStyle w:val="ListParagraph"/>
              <w:numPr>
                <w:ilvl w:val="0"/>
                <w:numId w:val="6"/>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Restore from backup</w:t>
            </w:r>
          </w:p>
          <w:p w14:paraId="67A1D439" w14:textId="77777777" w:rsidR="0088158B" w:rsidRDefault="00A32C23" w:rsidP="0088158B">
            <w:pPr>
              <w:pStyle w:val="ListParagraph"/>
              <w:numPr>
                <w:ilvl w:val="0"/>
                <w:numId w:val="6"/>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Regular testing and evaluation</w:t>
            </w:r>
          </w:p>
          <w:p w14:paraId="5C35B754" w14:textId="2BAEAFFA" w:rsidR="00A32C23" w:rsidRPr="0088158B" w:rsidRDefault="00A32C23" w:rsidP="0088158B">
            <w:pPr>
              <w:pStyle w:val="ListParagraph"/>
              <w:numPr>
                <w:ilvl w:val="0"/>
                <w:numId w:val="6"/>
              </w:numPr>
              <w:spacing w:before="120" w:after="120"/>
              <w:ind w:left="885" w:hanging="207"/>
              <w:contextualSpacing w:val="0"/>
              <w:rPr>
                <w:rFonts w:asciiTheme="majorHAnsi" w:hAnsiTheme="majorHAnsi" w:cs="Arial"/>
                <w:sz w:val="20"/>
                <w:szCs w:val="20"/>
                <w:lang w:val="en-GB"/>
              </w:rPr>
            </w:pPr>
            <w:bookmarkStart w:id="0" w:name="_GoBack"/>
            <w:bookmarkEnd w:id="0"/>
            <w:r w:rsidRPr="0088158B">
              <w:rPr>
                <w:rFonts w:asciiTheme="majorHAnsi" w:hAnsiTheme="majorHAnsi" w:cs="Arial"/>
                <w:sz w:val="20"/>
                <w:szCs w:val="20"/>
                <w:lang w:val="en-GB"/>
              </w:rPr>
              <w:lastRenderedPageBreak/>
              <w:t>Where applicable, commitment to an approved Code of Conduct</w:t>
            </w:r>
          </w:p>
        </w:tc>
        <w:tc>
          <w:tcPr>
            <w:tcW w:w="878" w:type="dxa"/>
            <w:shd w:val="clear" w:color="auto" w:fill="FFFFFF" w:themeFill="background1"/>
          </w:tcPr>
          <w:p w14:paraId="13C70129" w14:textId="3DC64AEF" w:rsidR="00237EDA"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lastRenderedPageBreak/>
              <w:t>(c)</w:t>
            </w:r>
          </w:p>
        </w:tc>
        <w:tc>
          <w:tcPr>
            <w:tcW w:w="4819" w:type="dxa"/>
            <w:shd w:val="clear" w:color="auto" w:fill="FFFFFF" w:themeFill="background1"/>
          </w:tcPr>
          <w:p w14:paraId="54844E18" w14:textId="77777777" w:rsidR="00237EDA" w:rsidRPr="00A90531" w:rsidRDefault="00237EDA" w:rsidP="00CC7D13">
            <w:pPr>
              <w:spacing w:before="120" w:after="120"/>
              <w:rPr>
                <w:rFonts w:asciiTheme="majorHAnsi" w:hAnsiTheme="majorHAnsi" w:cs="Arial"/>
                <w:sz w:val="20"/>
                <w:szCs w:val="20"/>
                <w:lang w:val="en-GB"/>
              </w:rPr>
            </w:pPr>
          </w:p>
        </w:tc>
      </w:tr>
      <w:tr w:rsidR="00237EDA" w:rsidRPr="00F826B0" w14:paraId="20A10ABF" w14:textId="77777777" w:rsidTr="00CC7D13">
        <w:tc>
          <w:tcPr>
            <w:tcW w:w="4084" w:type="dxa"/>
            <w:shd w:val="clear" w:color="auto" w:fill="FFFFFF" w:themeFill="background1"/>
          </w:tcPr>
          <w:p w14:paraId="7DB177B1" w14:textId="085761D5" w:rsidR="00237EDA" w:rsidRPr="00A90531" w:rsidRDefault="00237EDA"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The processor respects the conditions for engaging another processor</w:t>
            </w:r>
            <w:r w:rsidR="000C7719">
              <w:rPr>
                <w:rFonts w:asciiTheme="majorHAnsi" w:hAnsiTheme="majorHAnsi" w:cs="Arial"/>
                <w:sz w:val="20"/>
                <w:szCs w:val="20"/>
                <w:lang w:val="en-GB"/>
              </w:rPr>
              <w:t xml:space="preserve"> (not without authorisation, and under the same contracted terms)</w:t>
            </w:r>
          </w:p>
        </w:tc>
        <w:tc>
          <w:tcPr>
            <w:tcW w:w="878" w:type="dxa"/>
            <w:shd w:val="clear" w:color="auto" w:fill="FFFFFF" w:themeFill="background1"/>
          </w:tcPr>
          <w:p w14:paraId="1C49CC12" w14:textId="797CAC83" w:rsidR="00237EDA"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(d)</w:t>
            </w:r>
          </w:p>
        </w:tc>
        <w:tc>
          <w:tcPr>
            <w:tcW w:w="4819" w:type="dxa"/>
            <w:shd w:val="clear" w:color="auto" w:fill="FFFFFF" w:themeFill="background1"/>
          </w:tcPr>
          <w:p w14:paraId="5626914D" w14:textId="77777777" w:rsidR="00237EDA" w:rsidRPr="00A90531" w:rsidRDefault="00237EDA" w:rsidP="00CC7D13">
            <w:pPr>
              <w:spacing w:before="120" w:after="120"/>
              <w:rPr>
                <w:rFonts w:asciiTheme="majorHAnsi" w:hAnsiTheme="majorHAnsi" w:cs="Arial"/>
                <w:sz w:val="20"/>
                <w:szCs w:val="20"/>
                <w:lang w:val="en-GB"/>
              </w:rPr>
            </w:pPr>
          </w:p>
        </w:tc>
      </w:tr>
      <w:tr w:rsidR="00237EDA" w:rsidRPr="00F826B0" w14:paraId="7B782080" w14:textId="77777777" w:rsidTr="00CC7D13">
        <w:tc>
          <w:tcPr>
            <w:tcW w:w="4084" w:type="dxa"/>
            <w:shd w:val="clear" w:color="auto" w:fill="FFFFFF" w:themeFill="background1"/>
          </w:tcPr>
          <w:p w14:paraId="0E6FA7F0" w14:textId="2349E4CF" w:rsidR="00237EDA" w:rsidRPr="00A90531" w:rsidRDefault="00801C57"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 xml:space="preserve">The processor commits to assist the controller insofar as is possible, to </w:t>
            </w:r>
            <w:r w:rsidR="00A90531" w:rsidRPr="00A90531">
              <w:rPr>
                <w:rFonts w:asciiTheme="majorHAnsi" w:hAnsiTheme="majorHAnsi" w:cs="Arial"/>
                <w:sz w:val="20"/>
                <w:szCs w:val="20"/>
                <w:lang w:val="en-GB"/>
              </w:rPr>
              <w:t>fulfil its requirement to respond to Data Subjects who exercise their rights</w:t>
            </w:r>
          </w:p>
        </w:tc>
        <w:tc>
          <w:tcPr>
            <w:tcW w:w="878" w:type="dxa"/>
            <w:shd w:val="clear" w:color="auto" w:fill="FFFFFF" w:themeFill="background1"/>
          </w:tcPr>
          <w:p w14:paraId="6C8A4E05" w14:textId="0E8E05AE" w:rsidR="00237EDA"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(e)</w:t>
            </w:r>
          </w:p>
        </w:tc>
        <w:tc>
          <w:tcPr>
            <w:tcW w:w="4819" w:type="dxa"/>
            <w:shd w:val="clear" w:color="auto" w:fill="FFFFFF" w:themeFill="background1"/>
          </w:tcPr>
          <w:p w14:paraId="10DFF9A0" w14:textId="77777777" w:rsidR="00237EDA" w:rsidRPr="00A90531" w:rsidRDefault="00237EDA" w:rsidP="00CC7D13">
            <w:pPr>
              <w:spacing w:before="120" w:after="120"/>
              <w:rPr>
                <w:rFonts w:asciiTheme="majorHAnsi" w:hAnsiTheme="majorHAnsi" w:cs="Arial"/>
                <w:sz w:val="20"/>
                <w:szCs w:val="20"/>
                <w:lang w:val="en-GB"/>
              </w:rPr>
            </w:pPr>
          </w:p>
        </w:tc>
      </w:tr>
      <w:tr w:rsidR="00A90531" w:rsidRPr="00F826B0" w14:paraId="1EF3EB13" w14:textId="77777777" w:rsidTr="00CC7D13">
        <w:tc>
          <w:tcPr>
            <w:tcW w:w="4084" w:type="dxa"/>
            <w:shd w:val="clear" w:color="auto" w:fill="FFFFFF" w:themeFill="background1"/>
          </w:tcPr>
          <w:p w14:paraId="55897BA7" w14:textId="16598804" w:rsidR="00A32C23" w:rsidRDefault="00A90531"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 xml:space="preserve">The processor commits to </w:t>
            </w:r>
            <w:r w:rsidR="00A32C23">
              <w:rPr>
                <w:rFonts w:asciiTheme="majorHAnsi" w:hAnsiTheme="majorHAnsi" w:cs="Arial"/>
                <w:sz w:val="20"/>
                <w:szCs w:val="20"/>
                <w:lang w:val="en-GB"/>
              </w:rPr>
              <w:t>assist the controller</w:t>
            </w:r>
            <w:r w:rsidRPr="00A90531">
              <w:rPr>
                <w:rFonts w:asciiTheme="majorHAnsi" w:hAnsiTheme="majorHAnsi" w:cs="Arial"/>
                <w:sz w:val="20"/>
                <w:szCs w:val="20"/>
                <w:lang w:val="en-GB"/>
              </w:rPr>
              <w:t xml:space="preserve"> with its obligations under Article 32 to 36</w:t>
            </w:r>
            <w:r w:rsidR="00A32C23">
              <w:rPr>
                <w:rFonts w:asciiTheme="majorHAnsi" w:hAnsiTheme="majorHAnsi" w:cs="Arial"/>
                <w:sz w:val="20"/>
                <w:szCs w:val="20"/>
                <w:lang w:val="en-GB"/>
              </w:rPr>
              <w:t xml:space="preserve"> namely:</w:t>
            </w:r>
          </w:p>
          <w:p w14:paraId="329BA4EF" w14:textId="77777777" w:rsidR="00A32C23" w:rsidRDefault="00A32C23" w:rsidP="00CC7D13">
            <w:pPr>
              <w:pStyle w:val="ListParagraph"/>
              <w:numPr>
                <w:ilvl w:val="0"/>
                <w:numId w:val="7"/>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S</w:t>
            </w:r>
            <w:r w:rsidRPr="00A32C23">
              <w:rPr>
                <w:rFonts w:asciiTheme="majorHAnsi" w:hAnsiTheme="majorHAnsi" w:cs="Arial"/>
                <w:sz w:val="20"/>
                <w:szCs w:val="20"/>
                <w:lang w:val="en-GB"/>
              </w:rPr>
              <w:t>ecurity</w:t>
            </w:r>
          </w:p>
          <w:p w14:paraId="137284C3" w14:textId="77777777" w:rsidR="00A32C23" w:rsidRDefault="00A32C23" w:rsidP="00CC7D13">
            <w:pPr>
              <w:pStyle w:val="ListParagraph"/>
              <w:numPr>
                <w:ilvl w:val="0"/>
                <w:numId w:val="7"/>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M</w:t>
            </w:r>
            <w:r w:rsidRPr="00A32C23">
              <w:rPr>
                <w:rFonts w:asciiTheme="majorHAnsi" w:hAnsiTheme="majorHAnsi" w:cs="Arial"/>
                <w:sz w:val="20"/>
                <w:szCs w:val="20"/>
                <w:lang w:val="en-GB"/>
              </w:rPr>
              <w:t>anagement and reporting of Data Breaches</w:t>
            </w:r>
          </w:p>
          <w:p w14:paraId="0148B79E" w14:textId="5DB8C88B" w:rsidR="00A32C23" w:rsidRDefault="00A32C23" w:rsidP="00CC7D13">
            <w:pPr>
              <w:pStyle w:val="ListParagraph"/>
              <w:numPr>
                <w:ilvl w:val="0"/>
                <w:numId w:val="7"/>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Data Protection Impact Assessments</w:t>
            </w:r>
          </w:p>
          <w:p w14:paraId="37499FC6" w14:textId="7EFF7EDF" w:rsidR="00A32C23" w:rsidRPr="00A32C23" w:rsidRDefault="00A32C23" w:rsidP="00CC7D13">
            <w:pPr>
              <w:pStyle w:val="ListParagraph"/>
              <w:numPr>
                <w:ilvl w:val="0"/>
                <w:numId w:val="7"/>
              </w:numPr>
              <w:spacing w:before="120" w:after="120"/>
              <w:ind w:left="885" w:hanging="207"/>
              <w:contextualSpacing w:val="0"/>
              <w:rPr>
                <w:rFonts w:asciiTheme="majorHAnsi" w:hAnsiTheme="majorHAnsi" w:cs="Arial"/>
                <w:sz w:val="20"/>
                <w:szCs w:val="20"/>
                <w:lang w:val="en-GB"/>
              </w:rPr>
            </w:pPr>
            <w:r>
              <w:rPr>
                <w:rFonts w:asciiTheme="majorHAnsi" w:hAnsiTheme="majorHAnsi" w:cs="Arial"/>
                <w:sz w:val="20"/>
                <w:szCs w:val="20"/>
                <w:lang w:val="en-GB"/>
              </w:rPr>
              <w:t>Seeking prior consultation to process from the ICO</w:t>
            </w:r>
          </w:p>
        </w:tc>
        <w:tc>
          <w:tcPr>
            <w:tcW w:w="878" w:type="dxa"/>
            <w:shd w:val="clear" w:color="auto" w:fill="FFFFFF" w:themeFill="background1"/>
          </w:tcPr>
          <w:p w14:paraId="1E833956" w14:textId="62378CBE" w:rsidR="00A90531"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(f)</w:t>
            </w:r>
          </w:p>
        </w:tc>
        <w:tc>
          <w:tcPr>
            <w:tcW w:w="4819" w:type="dxa"/>
            <w:shd w:val="clear" w:color="auto" w:fill="FFFFFF" w:themeFill="background1"/>
          </w:tcPr>
          <w:p w14:paraId="2B3B59E2" w14:textId="77777777" w:rsidR="00A90531" w:rsidRPr="00A90531" w:rsidRDefault="00A90531" w:rsidP="00CC7D13">
            <w:pPr>
              <w:spacing w:before="120" w:after="120"/>
              <w:rPr>
                <w:rFonts w:asciiTheme="majorHAnsi" w:hAnsiTheme="majorHAnsi" w:cs="Arial"/>
                <w:sz w:val="20"/>
                <w:szCs w:val="20"/>
                <w:lang w:val="en-GB"/>
              </w:rPr>
            </w:pPr>
          </w:p>
        </w:tc>
      </w:tr>
      <w:tr w:rsidR="00A90531" w:rsidRPr="00F826B0" w14:paraId="4D88F3CE" w14:textId="77777777" w:rsidTr="00CC7D13">
        <w:tc>
          <w:tcPr>
            <w:tcW w:w="4084" w:type="dxa"/>
            <w:shd w:val="clear" w:color="auto" w:fill="FFFFFF" w:themeFill="background1"/>
          </w:tcPr>
          <w:p w14:paraId="5876CC68" w14:textId="3BA4C6AB" w:rsidR="00A90531" w:rsidRPr="00A90531" w:rsidRDefault="00A90531"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The processor commits to delete or return (at the controller’s preference) the personal Data upon completion of the processing</w:t>
            </w:r>
          </w:p>
        </w:tc>
        <w:tc>
          <w:tcPr>
            <w:tcW w:w="878" w:type="dxa"/>
            <w:shd w:val="clear" w:color="auto" w:fill="FFFFFF" w:themeFill="background1"/>
          </w:tcPr>
          <w:p w14:paraId="608C8613" w14:textId="3885B624" w:rsidR="00A90531"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(g)</w:t>
            </w:r>
          </w:p>
        </w:tc>
        <w:tc>
          <w:tcPr>
            <w:tcW w:w="4819" w:type="dxa"/>
            <w:shd w:val="clear" w:color="auto" w:fill="FFFFFF" w:themeFill="background1"/>
          </w:tcPr>
          <w:p w14:paraId="0A006E02" w14:textId="77777777" w:rsidR="00A90531" w:rsidRPr="00A90531" w:rsidRDefault="00A90531" w:rsidP="00CC7D13">
            <w:pPr>
              <w:spacing w:before="120" w:after="120"/>
              <w:rPr>
                <w:rFonts w:asciiTheme="majorHAnsi" w:hAnsiTheme="majorHAnsi" w:cs="Arial"/>
                <w:sz w:val="20"/>
                <w:szCs w:val="20"/>
                <w:lang w:val="en-GB"/>
              </w:rPr>
            </w:pPr>
          </w:p>
        </w:tc>
      </w:tr>
      <w:tr w:rsidR="00A90531" w:rsidRPr="00F826B0" w14:paraId="18317010" w14:textId="77777777" w:rsidTr="00CC7D13">
        <w:tc>
          <w:tcPr>
            <w:tcW w:w="4084" w:type="dxa"/>
            <w:shd w:val="clear" w:color="auto" w:fill="FFFFFF" w:themeFill="background1"/>
          </w:tcPr>
          <w:p w14:paraId="368E3D00" w14:textId="35F40356" w:rsidR="00A32C23" w:rsidRPr="00A32C23" w:rsidRDefault="00A90531"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90531">
              <w:rPr>
                <w:rFonts w:asciiTheme="majorHAnsi" w:hAnsiTheme="majorHAnsi" w:cs="Arial"/>
                <w:sz w:val="20"/>
                <w:szCs w:val="20"/>
                <w:lang w:val="en-GB"/>
              </w:rPr>
              <w:t>The processor commits to produce on request all information to evidence its compliance with all requirements, and to allow and contribute to audits and inspections, by the controller or by another auditor.</w:t>
            </w:r>
          </w:p>
        </w:tc>
        <w:tc>
          <w:tcPr>
            <w:tcW w:w="878" w:type="dxa"/>
            <w:shd w:val="clear" w:color="auto" w:fill="FFFFFF" w:themeFill="background1"/>
          </w:tcPr>
          <w:p w14:paraId="09C704A4" w14:textId="5F67BFCD" w:rsidR="00A90531" w:rsidRPr="00A90531" w:rsidRDefault="00A90531" w:rsidP="00CC7D13">
            <w:pPr>
              <w:spacing w:before="120" w:after="120"/>
              <w:rPr>
                <w:rFonts w:asciiTheme="majorHAnsi" w:hAnsiTheme="majorHAnsi" w:cs="Arial"/>
                <w:sz w:val="20"/>
                <w:szCs w:val="20"/>
                <w:lang w:val="en-GB"/>
              </w:rPr>
            </w:pPr>
            <w:r w:rsidRPr="00A90531">
              <w:rPr>
                <w:rFonts w:asciiTheme="majorHAnsi" w:hAnsiTheme="majorHAnsi" w:cs="Arial"/>
                <w:sz w:val="20"/>
                <w:szCs w:val="20"/>
                <w:lang w:val="en-GB"/>
              </w:rPr>
              <w:t>(h)</w:t>
            </w:r>
          </w:p>
        </w:tc>
        <w:tc>
          <w:tcPr>
            <w:tcW w:w="4819" w:type="dxa"/>
            <w:shd w:val="clear" w:color="auto" w:fill="FFFFFF" w:themeFill="background1"/>
          </w:tcPr>
          <w:p w14:paraId="3309C0AD" w14:textId="77777777" w:rsidR="00A90531" w:rsidRPr="00A90531" w:rsidRDefault="00A90531" w:rsidP="00CC7D13">
            <w:pPr>
              <w:spacing w:before="120" w:after="120"/>
              <w:rPr>
                <w:rFonts w:asciiTheme="majorHAnsi" w:hAnsiTheme="majorHAnsi" w:cs="Arial"/>
                <w:sz w:val="20"/>
                <w:szCs w:val="20"/>
                <w:lang w:val="en-GB"/>
              </w:rPr>
            </w:pPr>
          </w:p>
        </w:tc>
      </w:tr>
      <w:tr w:rsidR="00A32C23" w:rsidRPr="00F826B0" w14:paraId="789DEA56" w14:textId="77777777" w:rsidTr="00CC7D13">
        <w:tc>
          <w:tcPr>
            <w:tcW w:w="4084" w:type="dxa"/>
            <w:shd w:val="clear" w:color="auto" w:fill="FFFFFF" w:themeFill="background1"/>
          </w:tcPr>
          <w:p w14:paraId="24C35BCA" w14:textId="53140835" w:rsidR="00A32C23" w:rsidRPr="00A32C23" w:rsidRDefault="00A32C23" w:rsidP="00CC7D13">
            <w:pPr>
              <w:pStyle w:val="ListParagraph"/>
              <w:numPr>
                <w:ilvl w:val="0"/>
                <w:numId w:val="5"/>
              </w:numPr>
              <w:spacing w:before="120" w:after="120"/>
              <w:ind w:left="601" w:hanging="283"/>
              <w:contextualSpacing w:val="0"/>
              <w:rPr>
                <w:rFonts w:asciiTheme="majorHAnsi" w:hAnsiTheme="majorHAnsi" w:cs="Arial"/>
                <w:sz w:val="20"/>
                <w:szCs w:val="20"/>
                <w:lang w:val="en-GB"/>
              </w:rPr>
            </w:pPr>
            <w:r w:rsidRPr="00A32C23">
              <w:rPr>
                <w:rFonts w:asciiTheme="majorHAnsi" w:hAnsiTheme="majorHAnsi" w:cs="Arial"/>
                <w:sz w:val="20"/>
                <w:szCs w:val="20"/>
                <w:lang w:val="en-GB"/>
              </w:rPr>
              <w:t>The processor and any person acting under the authority of the controller or of the processor, who has access to</w:t>
            </w:r>
            <w:r>
              <w:rPr>
                <w:rFonts w:asciiTheme="majorHAnsi" w:hAnsiTheme="majorHAnsi" w:cs="Arial"/>
                <w:sz w:val="20"/>
                <w:szCs w:val="20"/>
                <w:lang w:val="en-GB"/>
              </w:rPr>
              <w:t xml:space="preserve"> </w:t>
            </w:r>
            <w:r w:rsidRPr="00A32C23">
              <w:rPr>
                <w:rFonts w:asciiTheme="majorHAnsi" w:hAnsiTheme="majorHAnsi" w:cs="Arial"/>
                <w:sz w:val="20"/>
                <w:szCs w:val="20"/>
                <w:lang w:val="en-GB"/>
              </w:rPr>
              <w:t xml:space="preserve">personal data, shall not process those data except on instructions from the controller, unless required by </w:t>
            </w:r>
            <w:r>
              <w:rPr>
                <w:rFonts w:asciiTheme="majorHAnsi" w:hAnsiTheme="majorHAnsi" w:cs="Arial"/>
                <w:sz w:val="20"/>
                <w:szCs w:val="20"/>
                <w:lang w:val="en-GB"/>
              </w:rPr>
              <w:t>law</w:t>
            </w:r>
            <w:r w:rsidRPr="00A32C23">
              <w:rPr>
                <w:rFonts w:asciiTheme="majorHAnsi" w:hAnsiTheme="majorHAnsi" w:cs="Arial"/>
                <w:sz w:val="20"/>
                <w:szCs w:val="20"/>
                <w:lang w:val="en-GB"/>
              </w:rPr>
              <w:t>.</w:t>
            </w:r>
          </w:p>
        </w:tc>
        <w:tc>
          <w:tcPr>
            <w:tcW w:w="878" w:type="dxa"/>
            <w:shd w:val="clear" w:color="auto" w:fill="FFFFFF" w:themeFill="background1"/>
          </w:tcPr>
          <w:p w14:paraId="75A52215" w14:textId="21A7A10C" w:rsidR="00A32C23" w:rsidRPr="00A90531" w:rsidRDefault="00A32C23" w:rsidP="00CC7D13">
            <w:pPr>
              <w:spacing w:before="120" w:after="120"/>
              <w:rPr>
                <w:rFonts w:asciiTheme="majorHAnsi" w:hAnsiTheme="majorHAnsi" w:cs="Arial"/>
                <w:sz w:val="20"/>
                <w:szCs w:val="20"/>
                <w:lang w:val="en-GB"/>
              </w:rPr>
            </w:pPr>
            <w:r>
              <w:rPr>
                <w:rFonts w:asciiTheme="majorHAnsi" w:hAnsiTheme="majorHAnsi" w:cs="Arial"/>
                <w:sz w:val="20"/>
                <w:szCs w:val="20"/>
                <w:lang w:val="en-GB"/>
              </w:rPr>
              <w:t>29</w:t>
            </w:r>
          </w:p>
        </w:tc>
        <w:tc>
          <w:tcPr>
            <w:tcW w:w="4819" w:type="dxa"/>
            <w:shd w:val="clear" w:color="auto" w:fill="FFFFFF" w:themeFill="background1"/>
          </w:tcPr>
          <w:p w14:paraId="5B196754" w14:textId="77777777" w:rsidR="00A32C23" w:rsidRPr="00A90531" w:rsidRDefault="00A32C23" w:rsidP="00CC7D13">
            <w:pPr>
              <w:spacing w:before="120" w:after="120"/>
              <w:rPr>
                <w:rFonts w:asciiTheme="majorHAnsi" w:hAnsiTheme="majorHAnsi" w:cs="Arial"/>
                <w:sz w:val="20"/>
                <w:szCs w:val="20"/>
                <w:lang w:val="en-GB"/>
              </w:rPr>
            </w:pPr>
          </w:p>
        </w:tc>
      </w:tr>
    </w:tbl>
    <w:p w14:paraId="32287488" w14:textId="77777777" w:rsidR="00F826B0" w:rsidRPr="00F826B0" w:rsidRDefault="00F826B0" w:rsidP="00A32C23">
      <w:pPr>
        <w:rPr>
          <w:rFonts w:asciiTheme="majorHAnsi" w:hAnsiTheme="majorHAnsi" w:cs="Arial"/>
          <w:b/>
          <w:u w:val="single"/>
          <w:lang w:val="en-GB"/>
        </w:rPr>
      </w:pPr>
    </w:p>
    <w:sectPr w:rsidR="00F826B0" w:rsidRPr="00F826B0" w:rsidSect="00CC7D13">
      <w:footerReference w:type="default" r:id="rId7"/>
      <w:headerReference w:type="first" r:id="rId8"/>
      <w:pgSz w:w="11900" w:h="16840"/>
      <w:pgMar w:top="1405" w:right="1127" w:bottom="900" w:left="1134" w:header="466"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C66B" w14:textId="77777777" w:rsidR="00FF3BB5" w:rsidRDefault="00FF3BB5" w:rsidP="00846B4F">
      <w:r>
        <w:separator/>
      </w:r>
    </w:p>
  </w:endnote>
  <w:endnote w:type="continuationSeparator" w:id="0">
    <w:p w14:paraId="55199319" w14:textId="77777777" w:rsidR="00FF3BB5" w:rsidRDefault="00FF3BB5" w:rsidP="0084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61F7" w14:textId="573B4267" w:rsidR="00CC7D13" w:rsidRPr="00CC7D13" w:rsidRDefault="00CC7D13">
    <w:pPr>
      <w:pStyle w:val="Footer"/>
      <w:rPr>
        <w:rFonts w:asciiTheme="majorHAnsi" w:hAnsiTheme="majorHAnsi"/>
        <w:sz w:val="16"/>
        <w:szCs w:val="18"/>
      </w:rPr>
    </w:pPr>
    <w:r w:rsidRPr="00CC7D13">
      <w:rPr>
        <w:rFonts w:asciiTheme="majorHAnsi" w:hAnsiTheme="majorHAnsi"/>
        <w:sz w:val="16"/>
        <w:szCs w:val="18"/>
      </w:rPr>
      <w:t>©GDP Armour Ltd, Kemp House, London, WC1N 3XX. This product is used under licence from the Copyright owner.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BDB1C" w14:textId="77777777" w:rsidR="00FF3BB5" w:rsidRDefault="00FF3BB5" w:rsidP="00846B4F">
      <w:r>
        <w:separator/>
      </w:r>
    </w:p>
  </w:footnote>
  <w:footnote w:type="continuationSeparator" w:id="0">
    <w:p w14:paraId="347B4C43" w14:textId="77777777" w:rsidR="00FF3BB5" w:rsidRDefault="00FF3BB5" w:rsidP="00846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B489" w14:textId="6C02CBB8" w:rsidR="00FC5B02" w:rsidRDefault="00953D72" w:rsidP="00953D72">
    <w:pPr>
      <w:pStyle w:val="Header"/>
      <w:jc w:val="right"/>
    </w:pPr>
    <w:r>
      <w:tab/>
    </w:r>
    <w:r>
      <w:tab/>
      <w:t xml:space="preserve">    </w:t>
    </w:r>
  </w:p>
  <w:p w14:paraId="0D509ACA" w14:textId="5157ADE3" w:rsidR="00887F20" w:rsidRDefault="00887F20" w:rsidP="00887F20">
    <w:pPr>
      <w:pStyle w:val="Header"/>
      <w:jc w:val="center"/>
    </w:pPr>
  </w:p>
  <w:p w14:paraId="684EFD40" w14:textId="77777777" w:rsidR="00FC5B02" w:rsidRDefault="00FC5B02" w:rsidP="00846B4F">
    <w:pPr>
      <w:pStyle w:val="Header"/>
    </w:pPr>
  </w:p>
  <w:p w14:paraId="39567BD8" w14:textId="77777777" w:rsidR="00FC5B02" w:rsidRDefault="00FC5B02" w:rsidP="00846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1571"/>
        </w:tabs>
        <w:ind w:left="1571" w:hanging="360"/>
      </w:pPr>
    </w:lvl>
    <w:lvl w:ilvl="1">
      <w:start w:val="1"/>
      <w:numFmt w:val="lowerLetter"/>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1" w15:restartNumberingAfterBreak="0">
    <w:nsid w:val="15A626D8"/>
    <w:multiLevelType w:val="multilevel"/>
    <w:tmpl w:val="E07E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C9732F"/>
    <w:multiLevelType w:val="hybridMultilevel"/>
    <w:tmpl w:val="F34405A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 w15:restartNumberingAfterBreak="0">
    <w:nsid w:val="2AB236C4"/>
    <w:multiLevelType w:val="hybridMultilevel"/>
    <w:tmpl w:val="5844C3A4"/>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 w15:restartNumberingAfterBreak="0">
    <w:nsid w:val="32BB601E"/>
    <w:multiLevelType w:val="hybridMultilevel"/>
    <w:tmpl w:val="4340631C"/>
    <w:lvl w:ilvl="0" w:tplc="08090003">
      <w:start w:val="1"/>
      <w:numFmt w:val="bullet"/>
      <w:lvlText w:val="o"/>
      <w:lvlJc w:val="left"/>
      <w:pPr>
        <w:ind w:left="1038" w:hanging="360"/>
      </w:pPr>
      <w:rPr>
        <w:rFonts w:ascii="Courier New" w:hAnsi="Courier New" w:cs="Courier New"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5" w15:restartNumberingAfterBreak="0">
    <w:nsid w:val="424D3957"/>
    <w:multiLevelType w:val="hybridMultilevel"/>
    <w:tmpl w:val="AACE2D42"/>
    <w:lvl w:ilvl="0" w:tplc="CE8438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1B1218"/>
    <w:multiLevelType w:val="hybridMultilevel"/>
    <w:tmpl w:val="B29A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8E9"/>
    <w:rsid w:val="00024960"/>
    <w:rsid w:val="000358E3"/>
    <w:rsid w:val="00046974"/>
    <w:rsid w:val="000936F0"/>
    <w:rsid w:val="000C7719"/>
    <w:rsid w:val="00106D02"/>
    <w:rsid w:val="001342CA"/>
    <w:rsid w:val="001406F9"/>
    <w:rsid w:val="001C28E9"/>
    <w:rsid w:val="001C658D"/>
    <w:rsid w:val="001F00A4"/>
    <w:rsid w:val="00206F3D"/>
    <w:rsid w:val="00207A5E"/>
    <w:rsid w:val="00237EDA"/>
    <w:rsid w:val="00254C85"/>
    <w:rsid w:val="003C2E65"/>
    <w:rsid w:val="003E6F6A"/>
    <w:rsid w:val="00412ADE"/>
    <w:rsid w:val="0047631A"/>
    <w:rsid w:val="00491D69"/>
    <w:rsid w:val="004A0CB0"/>
    <w:rsid w:val="004A3372"/>
    <w:rsid w:val="004B5D31"/>
    <w:rsid w:val="004C0F8D"/>
    <w:rsid w:val="005109BB"/>
    <w:rsid w:val="005360D0"/>
    <w:rsid w:val="00586F5C"/>
    <w:rsid w:val="005A190E"/>
    <w:rsid w:val="006571DC"/>
    <w:rsid w:val="006F087C"/>
    <w:rsid w:val="007317D0"/>
    <w:rsid w:val="007B218C"/>
    <w:rsid w:val="007D3155"/>
    <w:rsid w:val="00801C57"/>
    <w:rsid w:val="00846B4F"/>
    <w:rsid w:val="0088158B"/>
    <w:rsid w:val="00887F20"/>
    <w:rsid w:val="00892DC8"/>
    <w:rsid w:val="00910992"/>
    <w:rsid w:val="009519F2"/>
    <w:rsid w:val="00953D72"/>
    <w:rsid w:val="00956050"/>
    <w:rsid w:val="009B4BA7"/>
    <w:rsid w:val="00A32C23"/>
    <w:rsid w:val="00A90531"/>
    <w:rsid w:val="00B55FC2"/>
    <w:rsid w:val="00BF71DC"/>
    <w:rsid w:val="00C41404"/>
    <w:rsid w:val="00C5435B"/>
    <w:rsid w:val="00CB6CE2"/>
    <w:rsid w:val="00CC7D13"/>
    <w:rsid w:val="00CD1B1E"/>
    <w:rsid w:val="00CF726A"/>
    <w:rsid w:val="00D20A1A"/>
    <w:rsid w:val="00D41B8D"/>
    <w:rsid w:val="00D437FE"/>
    <w:rsid w:val="00D43CC4"/>
    <w:rsid w:val="00D70248"/>
    <w:rsid w:val="00D916FF"/>
    <w:rsid w:val="00DE08F3"/>
    <w:rsid w:val="00E151F4"/>
    <w:rsid w:val="00E7320E"/>
    <w:rsid w:val="00EA59E9"/>
    <w:rsid w:val="00EA5D30"/>
    <w:rsid w:val="00F826B0"/>
    <w:rsid w:val="00FB4C14"/>
    <w:rsid w:val="00FC5B02"/>
    <w:rsid w:val="00FF3B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66A58"/>
  <w15:docId w15:val="{50A500BD-4F12-5B42-9A8C-97DF2ADE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B4F"/>
    <w:pPr>
      <w:tabs>
        <w:tab w:val="center" w:pos="4320"/>
        <w:tab w:val="right" w:pos="8640"/>
      </w:tabs>
    </w:pPr>
  </w:style>
  <w:style w:type="character" w:customStyle="1" w:styleId="HeaderChar">
    <w:name w:val="Header Char"/>
    <w:basedOn w:val="DefaultParagraphFont"/>
    <w:link w:val="Header"/>
    <w:uiPriority w:val="99"/>
    <w:rsid w:val="00846B4F"/>
  </w:style>
  <w:style w:type="paragraph" w:styleId="Footer">
    <w:name w:val="footer"/>
    <w:basedOn w:val="Normal"/>
    <w:link w:val="FooterChar"/>
    <w:uiPriority w:val="99"/>
    <w:unhideWhenUsed/>
    <w:rsid w:val="00846B4F"/>
    <w:pPr>
      <w:tabs>
        <w:tab w:val="center" w:pos="4320"/>
        <w:tab w:val="right" w:pos="8640"/>
      </w:tabs>
    </w:pPr>
  </w:style>
  <w:style w:type="character" w:customStyle="1" w:styleId="FooterChar">
    <w:name w:val="Footer Char"/>
    <w:basedOn w:val="DefaultParagraphFont"/>
    <w:link w:val="Footer"/>
    <w:uiPriority w:val="99"/>
    <w:rsid w:val="00846B4F"/>
  </w:style>
  <w:style w:type="paragraph" w:styleId="BalloonText">
    <w:name w:val="Balloon Text"/>
    <w:basedOn w:val="Normal"/>
    <w:link w:val="BalloonTextChar"/>
    <w:uiPriority w:val="99"/>
    <w:semiHidden/>
    <w:unhideWhenUsed/>
    <w:rsid w:val="00846B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6B4F"/>
    <w:rPr>
      <w:rFonts w:ascii="Lucida Grande" w:hAnsi="Lucida Grande" w:cs="Lucida Grande"/>
      <w:sz w:val="18"/>
      <w:szCs w:val="18"/>
    </w:rPr>
  </w:style>
  <w:style w:type="character" w:styleId="Hyperlink">
    <w:name w:val="Hyperlink"/>
    <w:basedOn w:val="DefaultParagraphFont"/>
    <w:uiPriority w:val="99"/>
    <w:unhideWhenUsed/>
    <w:rsid w:val="00046974"/>
    <w:rPr>
      <w:color w:val="0000FF" w:themeColor="hyperlink"/>
      <w:u w:val="single"/>
    </w:rPr>
  </w:style>
  <w:style w:type="paragraph" w:styleId="NormalWeb">
    <w:name w:val="Normal (Web)"/>
    <w:basedOn w:val="Normal"/>
    <w:uiPriority w:val="99"/>
    <w:semiHidden/>
    <w:unhideWhenUsed/>
    <w:rsid w:val="00892DC8"/>
    <w:pPr>
      <w:spacing w:before="100" w:beforeAutospacing="1" w:after="100" w:afterAutospacing="1"/>
    </w:pPr>
    <w:rPr>
      <w:rFonts w:ascii="Times New Roman" w:hAnsi="Times New Roman" w:cs="Times New Roman"/>
      <w:lang w:val="en-GB" w:eastAsia="en-GB"/>
    </w:rPr>
  </w:style>
  <w:style w:type="table" w:styleId="TableGrid">
    <w:name w:val="Table Grid"/>
    <w:basedOn w:val="TableNormal"/>
    <w:uiPriority w:val="59"/>
    <w:rsid w:val="001C2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375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charity/Library/Group%20Containers/UBF8T346G9.Office/User%20Content.localized/Templates.localized/1%20GDP%20Armou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 GDP Armour letter.dotx</Template>
  <TotalTime>47</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Action &amp; Answers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Charity</dc:creator>
  <cp:keywords/>
  <dc:description/>
  <cp:lastModifiedBy>David Charity</cp:lastModifiedBy>
  <cp:revision>11</cp:revision>
  <cp:lastPrinted>2018-02-26T17:36:00Z</cp:lastPrinted>
  <dcterms:created xsi:type="dcterms:W3CDTF">2018-06-26T14:56:00Z</dcterms:created>
  <dcterms:modified xsi:type="dcterms:W3CDTF">2019-04-23T07:44:00Z</dcterms:modified>
</cp:coreProperties>
</file>